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4214"/>
      </w:tblGrid>
      <w:tr w:rsidR="005A03AF" w:rsidRPr="003D067D" w:rsidTr="00824588">
        <w:trPr>
          <w:trHeight w:val="844"/>
        </w:trPr>
        <w:tc>
          <w:tcPr>
            <w:tcW w:w="744" w:type="dxa"/>
            <w:tcBorders>
              <w:bottom w:val="single" w:sz="12" w:space="0" w:color="auto"/>
            </w:tcBorders>
          </w:tcPr>
          <w:p w:rsidR="005A03AF" w:rsidRPr="008A0A75" w:rsidRDefault="005A03AF" w:rsidP="00824588">
            <w:pPr>
              <w:rPr>
                <w:kern w:val="22"/>
              </w:rPr>
            </w:pPr>
            <w:bookmarkStart w:id="0" w:name="_Hlk505247837"/>
            <w:bookmarkStart w:id="1" w:name="_Toc462934071"/>
            <w:bookmarkStart w:id="2" w:name="_Toc480714127"/>
            <w:r w:rsidRPr="008A0A75">
              <w:rPr>
                <w:noProof/>
                <w:kern w:val="22"/>
                <w:lang w:eastAsia="en-GB"/>
              </w:rPr>
              <w:drawing>
                <wp:anchor distT="0" distB="0" distL="114300" distR="114300" simplePos="0" relativeHeight="251659264" behindDoc="0" locked="0" layoutInCell="1" allowOverlap="1">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5A03AF" w:rsidRPr="008A0A75" w:rsidRDefault="005A03AF" w:rsidP="00824588">
            <w:pPr>
              <w:ind w:left="175"/>
              <w:rPr>
                <w:kern w:val="22"/>
              </w:rPr>
            </w:pPr>
            <w:r w:rsidRPr="00FE14F7">
              <w:rPr>
                <w:noProof/>
                <w:lang w:eastAsia="en-GB"/>
              </w:rPr>
              <w:drawing>
                <wp:inline distT="0" distB="0" distL="0" distR="0">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rsidR="005A03AF" w:rsidRPr="008A0A75" w:rsidRDefault="005A03AF" w:rsidP="00824588">
            <w:pPr>
              <w:jc w:val="right"/>
              <w:rPr>
                <w:rFonts w:ascii="Arial" w:hAnsi="Arial" w:cs="Arial"/>
                <w:b/>
                <w:kern w:val="22"/>
                <w:sz w:val="32"/>
                <w:szCs w:val="32"/>
              </w:rPr>
            </w:pPr>
            <w:r w:rsidRPr="008A0A75">
              <w:rPr>
                <w:rFonts w:ascii="Arial" w:hAnsi="Arial" w:cs="Arial"/>
                <w:b/>
                <w:kern w:val="22"/>
                <w:sz w:val="32"/>
                <w:szCs w:val="32"/>
              </w:rPr>
              <w:t>CBD</w:t>
            </w:r>
          </w:p>
        </w:tc>
      </w:tr>
    </w:tbl>
    <w:tbl>
      <w:tblPr>
        <w:tblW w:w="10207" w:type="dxa"/>
        <w:tblInd w:w="-318" w:type="dxa"/>
        <w:tblBorders>
          <w:bottom w:val="single" w:sz="36" w:space="0" w:color="000000"/>
        </w:tblBorders>
        <w:tblLayout w:type="fixed"/>
        <w:tblLook w:val="0000"/>
      </w:tblPr>
      <w:tblGrid>
        <w:gridCol w:w="6086"/>
        <w:gridCol w:w="1144"/>
        <w:gridCol w:w="2977"/>
      </w:tblGrid>
      <w:tr w:rsidR="005A03AF" w:rsidRPr="003D067D" w:rsidTr="00824588">
        <w:trPr>
          <w:trHeight w:val="1693"/>
        </w:trPr>
        <w:tc>
          <w:tcPr>
            <w:tcW w:w="6086" w:type="dxa"/>
            <w:tcBorders>
              <w:top w:val="nil"/>
              <w:bottom w:val="single" w:sz="36" w:space="0" w:color="000000"/>
            </w:tcBorders>
          </w:tcPr>
          <w:bookmarkEnd w:id="0"/>
          <w:p w:rsidR="005A03AF" w:rsidRPr="003D067D" w:rsidRDefault="005A03AF" w:rsidP="00824588">
            <w:pPr>
              <w:suppressLineNumbers/>
              <w:suppressAutoHyphens/>
              <w:rPr>
                <w:rFonts w:ascii="Univers" w:hAnsi="Univers"/>
                <w:snapToGrid w:val="0"/>
                <w:kern w:val="22"/>
              </w:rPr>
            </w:pPr>
            <w:r>
              <w:rPr>
                <w:rFonts w:ascii="Univers" w:hAnsi="Univers"/>
                <w:snapToGrid w:val="0"/>
                <w:kern w:val="22"/>
                <w:lang w:val="ru-RU"/>
              </w:rPr>
              <w:t xml:space="preserve"> </w:t>
            </w:r>
            <w:r>
              <w:rPr>
                <w:noProof/>
                <w:lang w:eastAsia="en-GB"/>
              </w:rPr>
              <w:drawing>
                <wp:inline distT="0" distB="0" distL="0" distR="0">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5A03AF" w:rsidRPr="00D0496C" w:rsidRDefault="005A03AF" w:rsidP="00824588">
            <w:pPr>
              <w:pStyle w:val="En-tte"/>
              <w:suppressLineNumbers/>
              <w:suppressAutoHyphens/>
              <w:rPr>
                <w:rFonts w:eastAsia="MS Mincho"/>
                <w:bCs/>
                <w:snapToGrid w:val="0"/>
                <w:kern w:val="22"/>
              </w:rPr>
            </w:pPr>
          </w:p>
        </w:tc>
        <w:tc>
          <w:tcPr>
            <w:tcW w:w="2977" w:type="dxa"/>
            <w:tcBorders>
              <w:top w:val="nil"/>
              <w:bottom w:val="single" w:sz="36" w:space="0" w:color="000000"/>
            </w:tcBorders>
          </w:tcPr>
          <w:p w:rsidR="005A03AF" w:rsidRPr="001334EC" w:rsidRDefault="005A03AF" w:rsidP="00824588">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rsidR="005A03AF" w:rsidRPr="00B26F18" w:rsidRDefault="006A19EA" w:rsidP="00824588">
            <w:pPr>
              <w:suppressLineNumbers/>
              <w:suppressAutoHyphens/>
              <w:ind w:left="318"/>
              <w:rPr>
                <w:rFonts w:asciiTheme="majorBidi" w:hAnsiTheme="majorBidi" w:cstheme="majorBidi"/>
                <w:snapToGrid w:val="0"/>
                <w:kern w:val="22"/>
                <w:lang w:val="en-US"/>
              </w:rPr>
            </w:pPr>
            <w:r>
              <w:rPr>
                <w:caps/>
                <w:szCs w:val="22"/>
              </w:rPr>
              <w:t>GENERAL</w:t>
            </w:r>
          </w:p>
          <w:p w:rsidR="005A03AF" w:rsidRPr="001334EC" w:rsidRDefault="005A03AF" w:rsidP="00824588">
            <w:pPr>
              <w:suppressLineNumbers/>
              <w:suppressAutoHyphens/>
              <w:ind w:left="318"/>
              <w:rPr>
                <w:rFonts w:asciiTheme="majorBidi" w:hAnsiTheme="majorBidi" w:cstheme="majorBidi"/>
                <w:snapToGrid w:val="0"/>
                <w:kern w:val="22"/>
              </w:rPr>
            </w:pPr>
          </w:p>
          <w:bookmarkStart w:id="3" w:name="_Hlk22815168" w:displacedByCustomXml="next"/>
          <w:sdt>
            <w:sdtPr>
              <w:rPr>
                <w:lang w:val="en-US"/>
              </w:rPr>
              <w:alias w:val="Subject"/>
              <w:tag w:val=""/>
              <w:id w:val="-1155982080"/>
              <w:placeholder>
                <w:docPart w:val="208EE6DFCD7645369478E7CA258F87BD"/>
              </w:placeholder>
              <w:dataBinding w:prefixMappings="xmlns:ns0='http://purl.org/dc/elements/1.1/' xmlns:ns1='http://schemas.openxmlformats.org/package/2006/metadata/core-properties' " w:xpath="/ns1:coreProperties[1]/ns0:subject[1]" w:storeItemID="{6C3C8BC8-F283-45AE-878A-BAB7291924A1}"/>
              <w:text/>
            </w:sdtPr>
            <w:sdtContent>
              <w:bookmarkEnd w:id="3" w:displacedByCustomXml="prev"/>
              <w:p w:rsidR="005A03AF" w:rsidRPr="001334EC" w:rsidRDefault="006A19EA" w:rsidP="00824588">
                <w:pPr>
                  <w:suppressLineNumbers/>
                  <w:suppressAutoHyphens/>
                  <w:ind w:left="318"/>
                  <w:rPr>
                    <w:rFonts w:asciiTheme="majorBidi" w:hAnsiTheme="majorBidi" w:cstheme="majorBidi"/>
                    <w:snapToGrid w:val="0"/>
                    <w:kern w:val="22"/>
                  </w:rPr>
                </w:pPr>
                <w:r w:rsidRPr="006A19EA">
                  <w:rPr>
                    <w:lang w:val="en-US"/>
                  </w:rPr>
                  <w:t>CBD/COP/DEC/15/26</w:t>
                </w:r>
              </w:p>
            </w:sdtContent>
          </w:sdt>
          <w:p w:rsidR="005A03AF" w:rsidRPr="001334EC" w:rsidRDefault="005A03AF" w:rsidP="00824588">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1</w:t>
            </w:r>
            <w:r w:rsidR="006A19EA">
              <w:rPr>
                <w:rFonts w:asciiTheme="majorBidi" w:hAnsiTheme="majorBidi" w:cstheme="majorBidi"/>
                <w:snapToGrid w:val="0"/>
                <w:kern w:val="22"/>
              </w:rPr>
              <w:t>9</w:t>
            </w:r>
            <w:r>
              <w:rPr>
                <w:rFonts w:asciiTheme="majorBidi" w:hAnsiTheme="majorBidi" w:cstheme="majorBidi"/>
                <w:snapToGrid w:val="0"/>
                <w:kern w:val="22"/>
              </w:rPr>
              <w:t xml:space="preserve"> December </w:t>
            </w:r>
            <w:r w:rsidRPr="001334EC">
              <w:rPr>
                <w:rFonts w:asciiTheme="majorBidi" w:hAnsiTheme="majorBidi" w:cstheme="majorBidi"/>
                <w:snapToGrid w:val="0"/>
                <w:kern w:val="22"/>
              </w:rPr>
              <w:t>2022</w:t>
            </w:r>
          </w:p>
          <w:p w:rsidR="005A03AF" w:rsidRPr="001334EC" w:rsidRDefault="005A03AF" w:rsidP="00824588">
            <w:pPr>
              <w:suppressLineNumbers/>
              <w:suppressAutoHyphens/>
              <w:ind w:left="318"/>
              <w:rPr>
                <w:rFonts w:asciiTheme="majorBidi" w:hAnsiTheme="majorBidi" w:cstheme="majorBidi"/>
                <w:snapToGrid w:val="0"/>
                <w:kern w:val="22"/>
              </w:rPr>
            </w:pPr>
          </w:p>
          <w:p w:rsidR="005A03AF" w:rsidRPr="00FE14F7" w:rsidRDefault="005A03AF" w:rsidP="00824588">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rsidR="005A03AF" w:rsidRPr="00731435" w:rsidRDefault="005A03AF" w:rsidP="00824588">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rsidR="005A03AF" w:rsidRPr="003D55EF" w:rsidRDefault="005A03AF" w:rsidP="00923C73">
      <w:pPr>
        <w:pStyle w:val="Cornernotation"/>
        <w:kinsoku w:val="0"/>
        <w:overflowPunct w:val="0"/>
        <w:autoSpaceDE w:val="0"/>
        <w:autoSpaceDN w:val="0"/>
        <w:spacing w:before="60"/>
        <w:ind w:left="227" w:right="4075" w:hanging="227"/>
        <w:rPr>
          <w:snapToGrid w:val="0"/>
          <w:kern w:val="22"/>
          <w:lang w:val="ru-RU"/>
        </w:rPr>
      </w:pPr>
      <w:r w:rsidRPr="003D55EF">
        <w:rPr>
          <w:snapToGrid w:val="0"/>
          <w:kern w:val="22"/>
          <w:lang w:val="ru-RU"/>
        </w:rPr>
        <w:t>КОНФЕРЕНЦИЯ СТОРОН КОНВЕНЦИИ О БИОЛОГИЧЕСКОМ РАЗНООБРАЗИИ</w:t>
      </w:r>
    </w:p>
    <w:p w:rsidR="005A03AF" w:rsidRPr="003D55EF" w:rsidRDefault="005A03AF" w:rsidP="00923C73">
      <w:pPr>
        <w:pStyle w:val="Cornernotation"/>
        <w:kinsoku w:val="0"/>
        <w:overflowPunct w:val="0"/>
        <w:autoSpaceDE w:val="0"/>
        <w:autoSpaceDN w:val="0"/>
        <w:ind w:left="0" w:right="4075" w:firstLine="0"/>
        <w:rPr>
          <w:snapToGrid w:val="0"/>
          <w:kern w:val="22"/>
          <w:lang w:val="ru-RU"/>
        </w:rPr>
      </w:pPr>
      <w:r w:rsidRPr="003D55EF">
        <w:rPr>
          <w:snapToGrid w:val="0"/>
          <w:kern w:val="22"/>
          <w:lang w:val="ru-RU"/>
        </w:rPr>
        <w:t xml:space="preserve">Пятнадцатое совещание, часть </w:t>
      </w:r>
      <w:r w:rsidRPr="006901C3">
        <w:rPr>
          <w:snapToGrid w:val="0"/>
          <w:kern w:val="22"/>
        </w:rPr>
        <w:t>II</w:t>
      </w:r>
    </w:p>
    <w:p w:rsidR="005A03AF" w:rsidRPr="003D55EF" w:rsidRDefault="005A03AF" w:rsidP="00923C73">
      <w:pPr>
        <w:pStyle w:val="Cornernotation"/>
        <w:kinsoku w:val="0"/>
        <w:overflowPunct w:val="0"/>
        <w:autoSpaceDE w:val="0"/>
        <w:autoSpaceDN w:val="0"/>
        <w:ind w:left="0" w:right="4075" w:firstLine="0"/>
        <w:rPr>
          <w:snapToGrid w:val="0"/>
          <w:kern w:val="22"/>
          <w:lang w:val="ru-RU"/>
        </w:rPr>
      </w:pPr>
      <w:r w:rsidRPr="003D55EF">
        <w:rPr>
          <w:snapToGrid w:val="0"/>
          <w:kern w:val="22"/>
          <w:lang w:val="ru-RU"/>
        </w:rPr>
        <w:t>Монреаль, Канада, 7</w:t>
      </w:r>
      <w:r w:rsidR="00923C73" w:rsidRPr="003D55EF">
        <w:rPr>
          <w:snapToGrid w:val="0"/>
          <w:kern w:val="22"/>
          <w:lang w:val="ru-RU"/>
        </w:rPr>
        <w:t>-</w:t>
      </w:r>
      <w:r w:rsidRPr="003D55EF">
        <w:rPr>
          <w:snapToGrid w:val="0"/>
          <w:kern w:val="22"/>
          <w:lang w:val="ru-RU"/>
        </w:rPr>
        <w:t>19 декабря 2022 года</w:t>
      </w:r>
    </w:p>
    <w:bookmarkEnd w:id="1"/>
    <w:bookmarkEnd w:id="2"/>
    <w:p w:rsidR="00837FF0" w:rsidRPr="00923C73" w:rsidRDefault="00B03815" w:rsidP="00923C73">
      <w:pPr>
        <w:pStyle w:val="Cornernotation"/>
        <w:kinsoku w:val="0"/>
        <w:overflowPunct w:val="0"/>
        <w:autoSpaceDE w:val="0"/>
        <w:autoSpaceDN w:val="0"/>
        <w:ind w:left="0" w:right="4075" w:firstLine="0"/>
        <w:rPr>
          <w:snapToGrid w:val="0"/>
          <w:kern w:val="22"/>
        </w:rPr>
      </w:pPr>
      <w:proofErr w:type="spellStart"/>
      <w:r w:rsidRPr="00923C73">
        <w:rPr>
          <w:snapToGrid w:val="0"/>
          <w:kern w:val="22"/>
        </w:rPr>
        <w:t>Пункт</w:t>
      </w:r>
      <w:proofErr w:type="spellEnd"/>
      <w:r w:rsidR="00837FF0" w:rsidRPr="00923C73">
        <w:rPr>
          <w:snapToGrid w:val="0"/>
          <w:kern w:val="22"/>
        </w:rPr>
        <w:t xml:space="preserve"> </w:t>
      </w:r>
      <w:r w:rsidR="00320FDA" w:rsidRPr="00923C73">
        <w:rPr>
          <w:snapToGrid w:val="0"/>
          <w:kern w:val="22"/>
        </w:rPr>
        <w:t>2</w:t>
      </w:r>
      <w:r w:rsidR="00105DEC" w:rsidRPr="00923C73">
        <w:rPr>
          <w:snapToGrid w:val="0"/>
          <w:kern w:val="22"/>
        </w:rPr>
        <w:t>0</w:t>
      </w:r>
      <w:r w:rsidR="00AD42C1">
        <w:rPr>
          <w:snapToGrid w:val="0"/>
          <w:kern w:val="22"/>
          <w:szCs w:val="22"/>
        </w:rPr>
        <w:t>A</w:t>
      </w:r>
      <w:r w:rsidRPr="00923C73">
        <w:rPr>
          <w:snapToGrid w:val="0"/>
          <w:kern w:val="22"/>
        </w:rPr>
        <w:t xml:space="preserve"> </w:t>
      </w:r>
      <w:proofErr w:type="spellStart"/>
      <w:r w:rsidRPr="00923C73">
        <w:rPr>
          <w:snapToGrid w:val="0"/>
          <w:kern w:val="22"/>
        </w:rPr>
        <w:t>повестки</w:t>
      </w:r>
      <w:proofErr w:type="spellEnd"/>
      <w:r w:rsidRPr="00923C73">
        <w:rPr>
          <w:snapToGrid w:val="0"/>
          <w:kern w:val="22"/>
        </w:rPr>
        <w:t xml:space="preserve"> </w:t>
      </w:r>
      <w:proofErr w:type="spellStart"/>
      <w:r w:rsidRPr="00923C73">
        <w:rPr>
          <w:snapToGrid w:val="0"/>
          <w:kern w:val="22"/>
        </w:rPr>
        <w:t>дня</w:t>
      </w:r>
      <w:proofErr w:type="spellEnd"/>
      <w:r w:rsidRPr="00923C73">
        <w:rPr>
          <w:snapToGrid w:val="0"/>
          <w:kern w:val="22"/>
        </w:rPr>
        <w:t xml:space="preserve"> </w:t>
      </w:r>
    </w:p>
    <w:p w:rsidR="006A19EA" w:rsidRPr="002A583A" w:rsidRDefault="006A19EA" w:rsidP="006A19EA">
      <w:pPr>
        <w:tabs>
          <w:tab w:val="left" w:pos="708"/>
        </w:tabs>
        <w:spacing w:before="240" w:after="120"/>
        <w:jc w:val="center"/>
        <w:rPr>
          <w:b/>
          <w:iCs/>
          <w:snapToGrid w:val="0"/>
          <w:szCs w:val="18"/>
          <w:lang w:val="ru-RU"/>
        </w:rPr>
      </w:pPr>
      <w:r w:rsidRPr="002A583A">
        <w:rPr>
          <w:b/>
          <w:lang w:val="ru-RU"/>
        </w:rPr>
        <w:t>РЕШЕНИЕ, ПРИНЯТОЕ КОНФЕРЕНЦИЕЙ СТОРОН КОНВЕНЦИИ О БИОЛОГИЧЕСКОМ РАЗНООБРАЗИИ</w:t>
      </w:r>
    </w:p>
    <w:p w:rsidR="0059391D" w:rsidRPr="0059391D" w:rsidRDefault="006A19EA" w:rsidP="0059391D">
      <w:pPr>
        <w:spacing w:before="120" w:after="240"/>
        <w:jc w:val="center"/>
        <w:rPr>
          <w:b/>
          <w:caps/>
          <w:lang w:val="ru-RU"/>
        </w:rPr>
      </w:pPr>
      <w:r>
        <w:rPr>
          <w:rFonts w:asciiTheme="majorBidi" w:hAnsiTheme="majorBidi" w:cstheme="majorBidi"/>
          <w:b/>
          <w:snapToGrid w:val="0"/>
          <w:kern w:val="22"/>
          <w:lang w:val="fr-FR"/>
        </w:rPr>
        <w:t>15/26.</w:t>
      </w:r>
      <w:r>
        <w:rPr>
          <w:rFonts w:asciiTheme="majorBidi" w:hAnsiTheme="majorBidi" w:cstheme="majorBidi"/>
          <w:b/>
          <w:snapToGrid w:val="0"/>
          <w:kern w:val="22"/>
          <w:lang w:val="fr-FR"/>
        </w:rPr>
        <w:tab/>
      </w:r>
      <w:r w:rsidRPr="00FF26A5">
        <w:rPr>
          <w:rFonts w:asciiTheme="majorBidi" w:hAnsiTheme="majorBidi" w:cstheme="majorBidi"/>
          <w:b/>
          <w:snapToGrid w:val="0"/>
          <w:kern w:val="22"/>
          <w:lang w:val="ru-RU"/>
        </w:rPr>
        <w:t>Экологически или биологически значимые морские районы: дальнейшая работа</w:t>
      </w:r>
      <w:r w:rsidR="0059391D" w:rsidRPr="0059391D">
        <w:rPr>
          <w:b/>
          <w:caps/>
          <w:lang w:val="ru-RU"/>
        </w:rPr>
        <w:t xml:space="preserve"> </w:t>
      </w:r>
    </w:p>
    <w:p w:rsidR="00CB04A5" w:rsidRPr="00CB04A5" w:rsidRDefault="00CB04A5" w:rsidP="00CB04A5">
      <w:pPr>
        <w:keepNext/>
        <w:spacing w:before="120" w:after="120"/>
        <w:ind w:firstLine="720"/>
        <w:rPr>
          <w:rFonts w:eastAsia="MS Mincho"/>
          <w:i/>
          <w:iCs/>
          <w:snapToGrid w:val="0"/>
          <w:kern w:val="22"/>
          <w:szCs w:val="22"/>
          <w:lang w:val="ru-RU"/>
        </w:rPr>
      </w:pPr>
      <w:r w:rsidRPr="00CB04A5">
        <w:rPr>
          <w:rFonts w:eastAsia="MS Mincho"/>
          <w:i/>
          <w:iCs/>
          <w:snapToGrid w:val="0"/>
          <w:kern w:val="22"/>
          <w:szCs w:val="22"/>
          <w:lang w:val="ru-RU"/>
        </w:rPr>
        <w:t>Конференция Сторон,</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843977">
        <w:rPr>
          <w:i/>
          <w:iCs/>
          <w:snapToGrid w:val="0"/>
          <w:lang w:val="ru-RU"/>
        </w:rPr>
        <w:t>подтверждая</w:t>
      </w:r>
      <w:r w:rsidRPr="00843977">
        <w:rPr>
          <w:snapToGrid w:val="0"/>
          <w:lang w:val="ru-RU"/>
        </w:rPr>
        <w:t xml:space="preserve"> статьи 4 и 22 Конвенции, а также решения </w:t>
      </w:r>
      <w:r>
        <w:rPr>
          <w:snapToGrid w:val="0"/>
        </w:rPr>
        <w:t>X</w:t>
      </w:r>
      <w:r w:rsidRPr="00843977">
        <w:rPr>
          <w:snapToGrid w:val="0"/>
          <w:lang w:val="ru-RU"/>
        </w:rPr>
        <w:t xml:space="preserve">/29, </w:t>
      </w:r>
      <w:r>
        <w:rPr>
          <w:snapToGrid w:val="0"/>
        </w:rPr>
        <w:t>XI</w:t>
      </w:r>
      <w:r w:rsidRPr="00843977">
        <w:rPr>
          <w:snapToGrid w:val="0"/>
          <w:lang w:val="ru-RU"/>
        </w:rPr>
        <w:t xml:space="preserve">/17, </w:t>
      </w:r>
      <w:r>
        <w:rPr>
          <w:snapToGrid w:val="0"/>
        </w:rPr>
        <w:t>XII</w:t>
      </w:r>
      <w:r w:rsidRPr="00843977">
        <w:rPr>
          <w:snapToGrid w:val="0"/>
          <w:lang w:val="ru-RU"/>
        </w:rPr>
        <w:t xml:space="preserve">/22, </w:t>
      </w:r>
      <w:r>
        <w:rPr>
          <w:snapToGrid w:val="0"/>
        </w:rPr>
        <w:t>XIII</w:t>
      </w:r>
      <w:r w:rsidRPr="00843977">
        <w:rPr>
          <w:snapToGrid w:val="0"/>
          <w:lang w:val="ru-RU"/>
        </w:rPr>
        <w:t>/12</w:t>
      </w:r>
      <w:r w:rsidR="00913A9D">
        <w:rPr>
          <w:snapToGrid w:val="0"/>
          <w:lang w:val="ru-RU"/>
        </w:rPr>
        <w:t>,</w:t>
      </w:r>
      <w:r w:rsidRPr="00843977">
        <w:rPr>
          <w:snapToGrid w:val="0"/>
          <w:lang w:val="ru-RU"/>
        </w:rPr>
        <w:t xml:space="preserve"> в частности пункт 3 и 14/9 Конференции Сторон,</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szCs w:val="22"/>
          <w:lang w:val="ru-RU"/>
        </w:rPr>
      </w:pPr>
      <w:r w:rsidRPr="00923C73">
        <w:rPr>
          <w:i/>
          <w:iCs/>
          <w:lang w:val="ru-RU"/>
        </w:rPr>
        <w:t>ссылаясь</w:t>
      </w:r>
      <w:r w:rsidRPr="00843977">
        <w:rPr>
          <w:lang w:val="ru-RU"/>
        </w:rPr>
        <w:t xml:space="preserve"> на резолюцию </w:t>
      </w:r>
      <w:r w:rsidRPr="00B57441">
        <w:rPr>
          <w:rStyle w:val="Lienhypertexte"/>
          <w:sz w:val="22"/>
          <w:lang w:val="ru-RU"/>
        </w:rPr>
        <w:t>76/</w:t>
      </w:r>
      <w:hyperlink r:id="rId15" w:history="1">
        <w:r w:rsidRPr="007043D1">
          <w:rPr>
            <w:rStyle w:val="Lienhypertexte"/>
            <w:sz w:val="22"/>
            <w:lang w:val="ru-RU"/>
          </w:rPr>
          <w:t>72</w:t>
        </w:r>
      </w:hyperlink>
      <w:r w:rsidRPr="00843977">
        <w:rPr>
          <w:lang w:val="ru-RU"/>
        </w:rPr>
        <w:t xml:space="preserve"> Генеральной Ассамблеи Организации Объединенных Наций по </w:t>
      </w:r>
      <w:r w:rsidR="007043D1">
        <w:rPr>
          <w:lang w:val="ru-RU"/>
        </w:rPr>
        <w:t xml:space="preserve">мировому </w:t>
      </w:r>
      <w:r w:rsidRPr="00843977">
        <w:rPr>
          <w:lang w:val="ru-RU"/>
        </w:rPr>
        <w:t>океан</w:t>
      </w:r>
      <w:r w:rsidR="007043D1">
        <w:rPr>
          <w:lang w:val="ru-RU"/>
        </w:rPr>
        <w:t>у</w:t>
      </w:r>
      <w:r w:rsidRPr="00843977">
        <w:rPr>
          <w:lang w:val="ru-RU"/>
        </w:rPr>
        <w:t xml:space="preserve"> и морскому праву и пункты ее преамбулы к Конвенции Организации Объединенных Наций по морскому праву</w:t>
      </w:r>
      <w:r w:rsidR="00D523FB">
        <w:rPr>
          <w:rStyle w:val="Appelnotedebasdep"/>
          <w:szCs w:val="22"/>
        </w:rPr>
        <w:footnoteReference w:id="1"/>
      </w:r>
      <w:r w:rsidR="00D523FB" w:rsidRPr="00D523FB">
        <w:rPr>
          <w:szCs w:val="22"/>
          <w:vertAlign w:val="superscript"/>
          <w:lang w:val="ru-RU"/>
        </w:rPr>
        <w:t>,</w:t>
      </w:r>
      <w:r w:rsidR="00D523FB">
        <w:rPr>
          <w:szCs w:val="22"/>
          <w:vertAlign w:val="superscript"/>
          <w:lang w:val="ru-RU"/>
        </w:rPr>
        <w:t xml:space="preserve"> </w:t>
      </w:r>
      <w:r w:rsidR="00D523FB">
        <w:rPr>
          <w:rStyle w:val="Appelnotedebasdep"/>
          <w:szCs w:val="22"/>
        </w:rPr>
        <w:footnoteReference w:id="2"/>
      </w:r>
      <w:r w:rsidR="001810B3">
        <w:rPr>
          <w:szCs w:val="22"/>
          <w:vertAlign w:val="superscript"/>
          <w:lang w:val="fr-FR"/>
        </w:rPr>
        <w:t>,</w:t>
      </w:r>
      <w:r w:rsidR="001810B3">
        <w:rPr>
          <w:rStyle w:val="Appelnotedebasdep"/>
          <w:szCs w:val="22"/>
        </w:rPr>
        <w:footnoteReference w:id="3"/>
      </w:r>
      <w:r w:rsidRPr="00843977">
        <w:rPr>
          <w:lang w:val="ru-RU"/>
        </w:rPr>
        <w:t>,</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szCs w:val="22"/>
          <w:lang w:val="ru-RU"/>
        </w:rPr>
      </w:pPr>
      <w:r w:rsidRPr="00843977">
        <w:rPr>
          <w:i/>
          <w:iCs/>
          <w:lang w:val="ru-RU"/>
        </w:rPr>
        <w:t>вновь подтверждая</w:t>
      </w:r>
      <w:r w:rsidRPr="00843977">
        <w:rPr>
          <w:lang w:val="ru-RU"/>
        </w:rPr>
        <w:t xml:space="preserve"> важную роль Генеральной Ассамблеи Организации Объединенных Наций в решении вопросов сохранения и устойчивого использования биоразнообразия в морских районах за пределами действия национальной юрисдикции,</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szCs w:val="22"/>
          <w:lang w:val="ru-RU"/>
        </w:rPr>
      </w:pPr>
      <w:r w:rsidRPr="00843977">
        <w:rPr>
          <w:i/>
          <w:iCs/>
          <w:lang w:val="ru-RU"/>
        </w:rPr>
        <w:t>отмечая</w:t>
      </w:r>
      <w:r w:rsidRPr="00843977">
        <w:rPr>
          <w:lang w:val="ru-RU"/>
        </w:rPr>
        <w:t xml:space="preserve"> ведущиеся в настоящее время переговоры на Межправительственной конференции по международному юридически обязательному документу в рамках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 в соответствии с резолюцией </w:t>
      </w:r>
      <w:r w:rsidRPr="00B57441">
        <w:rPr>
          <w:rStyle w:val="Lienhypertexte"/>
          <w:sz w:val="22"/>
          <w:lang w:val="ru-RU"/>
        </w:rPr>
        <w:t>72/</w:t>
      </w:r>
      <w:hyperlink r:id="rId16" w:history="1">
        <w:r w:rsidRPr="007043D1">
          <w:rPr>
            <w:rStyle w:val="Lienhypertexte"/>
            <w:sz w:val="22"/>
            <w:lang w:val="ru-RU"/>
          </w:rPr>
          <w:t>249</w:t>
        </w:r>
      </w:hyperlink>
      <w:r w:rsidRPr="00843977">
        <w:rPr>
          <w:lang w:val="ru-RU"/>
        </w:rPr>
        <w:t xml:space="preserve"> Генеральной Ассамблеи Организации Объединенных Наций;</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szCs w:val="22"/>
          <w:lang w:val="ru-RU"/>
        </w:rPr>
      </w:pPr>
      <w:r w:rsidRPr="00843977">
        <w:rPr>
          <w:i/>
          <w:lang w:val="ru-RU"/>
        </w:rPr>
        <w:t xml:space="preserve">отмечая </w:t>
      </w:r>
      <w:r w:rsidRPr="00843977">
        <w:rPr>
          <w:lang w:val="ru-RU"/>
        </w:rPr>
        <w:t xml:space="preserve">доклад подготовительного комитета, учрежденного резолюцией 69/292 Генеральной Ассамблеи о разработке имеющего обязательную силу международного документа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 и содержащиеся в нем рекомендации, в которых среди прочего рассматриваются зонально привязанные инструменты хозяйствования, включая морские охраняемые районы, в морских </w:t>
      </w:r>
      <w:proofErr w:type="gramStart"/>
      <w:r w:rsidRPr="00843977">
        <w:rPr>
          <w:lang w:val="ru-RU"/>
        </w:rPr>
        <w:t>районах</w:t>
      </w:r>
      <w:proofErr w:type="gramEnd"/>
      <w:r w:rsidRPr="00843977">
        <w:rPr>
          <w:lang w:val="ru-RU"/>
        </w:rPr>
        <w:t xml:space="preserve"> за пределами действия национальной юрисдикции, включая стандарты и критерии применительно к районам, требующим охраны путем создания </w:t>
      </w:r>
      <w:r w:rsidRPr="00843977">
        <w:rPr>
          <w:lang w:val="ru-RU"/>
        </w:rPr>
        <w:lastRenderedPageBreak/>
        <w:t xml:space="preserve">зонально привязанных инструментов хозяйствования, а также путем назначения, внедрения и мониторинга зонально привязанных инструментов хозяйствования, </w:t>
      </w:r>
    </w:p>
    <w:p w:rsidR="00843977" w:rsidRPr="00843977" w:rsidRDefault="00843977" w:rsidP="00843977">
      <w:pPr>
        <w:suppressLineNumbers/>
        <w:shd w:val="clear" w:color="auto" w:fill="FFFFFF" w:themeFill="background1"/>
        <w:suppressAutoHyphens/>
        <w:kinsoku w:val="0"/>
        <w:overflowPunct w:val="0"/>
        <w:autoSpaceDE w:val="0"/>
        <w:autoSpaceDN w:val="0"/>
        <w:adjustRightInd w:val="0"/>
        <w:snapToGrid w:val="0"/>
        <w:spacing w:before="120" w:after="120"/>
        <w:ind w:firstLine="720"/>
        <w:rPr>
          <w:szCs w:val="22"/>
          <w:lang w:val="ru-RU"/>
        </w:rPr>
      </w:pPr>
      <w:r w:rsidRPr="00843977">
        <w:rPr>
          <w:i/>
          <w:lang w:val="ru-RU"/>
        </w:rPr>
        <w:t>отмечая далее</w:t>
      </w:r>
      <w:r w:rsidRPr="00843977">
        <w:rPr>
          <w:lang w:val="ru-RU"/>
        </w:rPr>
        <w:t xml:space="preserve"> компетенцию Международной морской организации и Продовольственной и сельскохозяйственной организации Объединенных Наций в отношении судоходства и рыболовства в морских районах за пределами действия национальной юрисдикции соответственно и компетенцию Международного органа по морскому дну применительно к разведке и освоению минеральных ресурсов в международном районе морского дна</w:t>
      </w:r>
      <w:r w:rsidRPr="00B57441">
        <w:rPr>
          <w:lang w:val="ru-RU"/>
        </w:rPr>
        <w:t>,</w:t>
      </w:r>
      <w:r w:rsidRPr="00843977">
        <w:rPr>
          <w:lang w:val="ru-RU"/>
        </w:rPr>
        <w:t xml:space="preserve"> </w:t>
      </w:r>
    </w:p>
    <w:p w:rsidR="00843977" w:rsidRPr="00843977" w:rsidRDefault="00843977" w:rsidP="00843977">
      <w:pPr>
        <w:suppressLineNumbers/>
        <w:shd w:val="clear" w:color="auto" w:fill="FFFFFF" w:themeFill="background1"/>
        <w:suppressAutoHyphens/>
        <w:kinsoku w:val="0"/>
        <w:overflowPunct w:val="0"/>
        <w:autoSpaceDE w:val="0"/>
        <w:autoSpaceDN w:val="0"/>
        <w:adjustRightInd w:val="0"/>
        <w:snapToGrid w:val="0"/>
        <w:spacing w:before="120" w:after="120"/>
        <w:ind w:firstLine="720"/>
        <w:rPr>
          <w:szCs w:val="22"/>
          <w:lang w:val="ru-RU"/>
        </w:rPr>
      </w:pPr>
      <w:r w:rsidRPr="00843977">
        <w:rPr>
          <w:i/>
          <w:lang w:val="ru-RU"/>
        </w:rPr>
        <w:t>отмечая</w:t>
      </w:r>
      <w:r w:rsidRPr="00843977">
        <w:rPr>
          <w:lang w:val="ru-RU"/>
        </w:rPr>
        <w:t xml:space="preserve">, что описание экологически или биологически значимых морских районов представляет собой важный научно-технический процесс, который может способствовать осуществлению </w:t>
      </w:r>
      <w:r w:rsidR="007043D1">
        <w:rPr>
          <w:lang w:val="ru-RU"/>
        </w:rPr>
        <w:t>К</w:t>
      </w:r>
      <w:r w:rsidR="007043D1">
        <w:rPr>
          <w:snapToGrid w:val="0"/>
          <w:szCs w:val="18"/>
          <w:lang w:val="ru-RU"/>
        </w:rPr>
        <w:t>уньминско-Монреальской глобальной рамочной программы в области биоразнообразия</w:t>
      </w:r>
      <w:r w:rsidRPr="00843977">
        <w:rPr>
          <w:lang w:val="ru-RU"/>
        </w:rPr>
        <w:t>,</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843977">
        <w:rPr>
          <w:snapToGrid w:val="0"/>
          <w:lang w:val="ru-RU"/>
        </w:rPr>
        <w:t>1.</w:t>
      </w:r>
      <w:r w:rsidRPr="00843977">
        <w:rPr>
          <w:snapToGrid w:val="0"/>
          <w:lang w:val="ru-RU"/>
        </w:rPr>
        <w:tab/>
      </w:r>
      <w:r w:rsidRPr="00843977">
        <w:rPr>
          <w:i/>
          <w:iCs/>
          <w:snapToGrid w:val="0"/>
          <w:lang w:val="ru-RU"/>
        </w:rPr>
        <w:t>выражает свою признательность</w:t>
      </w:r>
      <w:r w:rsidRPr="00843977">
        <w:rPr>
          <w:snapToGrid w:val="0"/>
          <w:lang w:val="ru-RU"/>
        </w:rPr>
        <w:t xml:space="preserve"> правительствам Бельгии и Германии за оказанную ими финансовую поддержку в организации совещания экспертов по определению вариантов, касающихся процедур изменения описаний экологически или биологически значимых морских районов и описания новых районов, и </w:t>
      </w:r>
      <w:r w:rsidRPr="007043D1">
        <w:rPr>
          <w:iCs/>
          <w:snapToGrid w:val="0"/>
          <w:lang w:val="ru-RU"/>
        </w:rPr>
        <w:t>принимает к сведению</w:t>
      </w:r>
      <w:r w:rsidRPr="007043D1">
        <w:rPr>
          <w:snapToGrid w:val="0"/>
          <w:lang w:val="ru-RU"/>
        </w:rPr>
        <w:t xml:space="preserve"> </w:t>
      </w:r>
      <w:r w:rsidRPr="00843977">
        <w:rPr>
          <w:snapToGrid w:val="0"/>
          <w:lang w:val="ru-RU"/>
        </w:rPr>
        <w:t xml:space="preserve">представленный доклад о работе </w:t>
      </w:r>
      <w:r w:rsidR="00B57441">
        <w:rPr>
          <w:snapToGrid w:val="0"/>
          <w:lang w:val="ru-RU"/>
        </w:rPr>
        <w:t>этого совещания</w:t>
      </w:r>
      <w:r w:rsidRPr="00064264">
        <w:rPr>
          <w:rStyle w:val="Appelnotedebasdep"/>
          <w:rFonts w:eastAsiaTheme="majorEastAsia"/>
          <w:kern w:val="22"/>
          <w:szCs w:val="22"/>
        </w:rPr>
        <w:footnoteReference w:id="4"/>
      </w:r>
      <w:r w:rsidRPr="00843977">
        <w:rPr>
          <w:snapToGrid w:val="0"/>
          <w:lang w:val="ru-RU"/>
        </w:rPr>
        <w:t>;</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843977">
        <w:rPr>
          <w:snapToGrid w:val="0"/>
          <w:lang w:val="ru-RU"/>
        </w:rPr>
        <w:t>2.</w:t>
      </w:r>
      <w:r w:rsidRPr="00843977">
        <w:rPr>
          <w:snapToGrid w:val="0"/>
          <w:lang w:val="ru-RU"/>
        </w:rPr>
        <w:tab/>
      </w:r>
      <w:r w:rsidRPr="00843977">
        <w:rPr>
          <w:i/>
          <w:iCs/>
          <w:snapToGrid w:val="0"/>
          <w:lang w:val="ru-RU"/>
        </w:rPr>
        <w:t>приветствует</w:t>
      </w:r>
      <w:r w:rsidRPr="00843977">
        <w:rPr>
          <w:snapToGrid w:val="0"/>
          <w:lang w:val="ru-RU"/>
        </w:rPr>
        <w:t xml:space="preserve"> мероприятия по созданию потенциала, которым на региональном уровне оказывает содействие Исполнительный секретарь в сотрудничестве со Сторонами, другими правительствами и соответствующими организациями, направленные на содействие усилиям по описанию </w:t>
      </w:r>
      <w:r w:rsidR="007043D1" w:rsidRPr="00843977">
        <w:rPr>
          <w:lang w:val="ru-RU"/>
        </w:rPr>
        <w:t>экологически или биологически значимых морских районов</w:t>
      </w:r>
      <w:r w:rsidRPr="00843977">
        <w:rPr>
          <w:snapToGrid w:val="0"/>
          <w:lang w:val="ru-RU"/>
        </w:rPr>
        <w:t xml:space="preserve">, </w:t>
      </w:r>
      <w:r w:rsidRPr="007043D1">
        <w:rPr>
          <w:snapToGrid w:val="0"/>
          <w:lang w:val="ru-RU"/>
        </w:rPr>
        <w:t>признает</w:t>
      </w:r>
      <w:r w:rsidRPr="00843977">
        <w:rPr>
          <w:snapToGrid w:val="0"/>
          <w:lang w:val="ru-RU"/>
        </w:rPr>
        <w:t xml:space="preserve">, что такие мероприятия могут включать в себя важный элемент обновленной программы работы по морскому и прибрежному биоразнообразию, и </w:t>
      </w:r>
      <w:r w:rsidRPr="007043D1">
        <w:rPr>
          <w:snapToGrid w:val="0"/>
          <w:lang w:val="ru-RU"/>
        </w:rPr>
        <w:t>поручает</w:t>
      </w:r>
      <w:r w:rsidRPr="00843977">
        <w:rPr>
          <w:snapToGrid w:val="0"/>
          <w:lang w:val="ru-RU"/>
        </w:rPr>
        <w:t xml:space="preserve"> Исполнительному секретарю и далее содействовать таким мероприятиям по созданию потенциала в поддержку осуществления </w:t>
      </w:r>
      <w:r w:rsidR="007043D1">
        <w:rPr>
          <w:lang w:val="ru-RU"/>
        </w:rPr>
        <w:t>К</w:t>
      </w:r>
      <w:r w:rsidR="007043D1">
        <w:rPr>
          <w:snapToGrid w:val="0"/>
          <w:szCs w:val="18"/>
          <w:lang w:val="ru-RU"/>
        </w:rPr>
        <w:t>уньминско-Монреальской глобальной рамочной программы в области биоразнообразия</w:t>
      </w:r>
      <w:r w:rsidRPr="00843977">
        <w:rPr>
          <w:snapToGrid w:val="0"/>
          <w:lang w:val="ru-RU"/>
        </w:rPr>
        <w:t>;</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843977">
        <w:rPr>
          <w:snapToGrid w:val="0"/>
          <w:lang w:val="ru-RU"/>
        </w:rPr>
        <w:t>3.</w:t>
      </w:r>
      <w:r w:rsidRPr="00843977">
        <w:rPr>
          <w:snapToGrid w:val="0"/>
          <w:lang w:val="ru-RU"/>
        </w:rPr>
        <w:tab/>
      </w:r>
      <w:r w:rsidRPr="00843977">
        <w:rPr>
          <w:i/>
          <w:snapToGrid w:val="0"/>
          <w:lang w:val="ru-RU"/>
        </w:rPr>
        <w:t>постановляет</w:t>
      </w:r>
      <w:r w:rsidRPr="00843977">
        <w:rPr>
          <w:snapToGrid w:val="0"/>
          <w:lang w:val="ru-RU"/>
        </w:rPr>
        <w:t xml:space="preserve"> продлить срок работы</w:t>
      </w:r>
      <w:r w:rsidRPr="00843977">
        <w:rPr>
          <w:lang w:val="ru-RU"/>
        </w:rPr>
        <w:t xml:space="preserve"> Неофициальной консультативной группы по экологически или биологически значимым морским районам;</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lang w:val="ru-RU"/>
        </w:rPr>
      </w:pPr>
      <w:proofErr w:type="gramStart"/>
      <w:r w:rsidRPr="00843977">
        <w:rPr>
          <w:snapToGrid w:val="0"/>
          <w:lang w:val="ru-RU"/>
        </w:rPr>
        <w:t>4.</w:t>
      </w:r>
      <w:r w:rsidRPr="00843977">
        <w:rPr>
          <w:snapToGrid w:val="0"/>
          <w:lang w:val="ru-RU"/>
        </w:rPr>
        <w:tab/>
      </w:r>
      <w:r w:rsidRPr="00843977">
        <w:rPr>
          <w:i/>
          <w:iCs/>
          <w:snapToGrid w:val="0"/>
          <w:lang w:val="ru-RU"/>
        </w:rPr>
        <w:t>поручает</w:t>
      </w:r>
      <w:r w:rsidRPr="00843977">
        <w:rPr>
          <w:snapToGrid w:val="0"/>
          <w:lang w:val="ru-RU"/>
        </w:rPr>
        <w:t xml:space="preserve"> Исполнительному секретарю при условии наличия финансовых ресурсов </w:t>
      </w:r>
      <w:r w:rsidR="001C5C48">
        <w:rPr>
          <w:snapToGrid w:val="0"/>
          <w:lang w:val="ru-RU"/>
        </w:rPr>
        <w:t>провести</w:t>
      </w:r>
      <w:r w:rsidR="00B57441">
        <w:rPr>
          <w:snapToGrid w:val="0"/>
          <w:lang w:val="ru-RU"/>
        </w:rPr>
        <w:t xml:space="preserve"> совещание</w:t>
      </w:r>
      <w:r w:rsidRPr="00843977">
        <w:rPr>
          <w:snapToGrid w:val="0"/>
          <w:lang w:val="ru-RU"/>
        </w:rPr>
        <w:t xml:space="preserve"> экспертов для рассмотрения технических аспектов процедур, изложенных в приложении к рекомендации 24/10 Вспомогательного органа по научным, техническим и технологическим консультациям</w:t>
      </w:r>
      <w:r w:rsidR="00D523FB" w:rsidRPr="00980BF7">
        <w:rPr>
          <w:rStyle w:val="Appelnotedebasdep"/>
          <w:iCs/>
          <w:snapToGrid w:val="0"/>
          <w:kern w:val="22"/>
          <w:szCs w:val="22"/>
          <w:lang w:val="en-US"/>
        </w:rPr>
        <w:footnoteReference w:id="5"/>
      </w:r>
      <w:r w:rsidRPr="00843977">
        <w:rPr>
          <w:snapToGrid w:val="0"/>
          <w:lang w:val="ru-RU"/>
        </w:rPr>
        <w:t xml:space="preserve">, и </w:t>
      </w:r>
      <w:r w:rsidR="00B57441">
        <w:rPr>
          <w:snapToGrid w:val="0"/>
          <w:lang w:val="ru-RU"/>
        </w:rPr>
        <w:t>совещание</w:t>
      </w:r>
      <w:r w:rsidRPr="00843977">
        <w:rPr>
          <w:snapToGrid w:val="0"/>
          <w:lang w:val="ru-RU"/>
        </w:rPr>
        <w:t xml:space="preserve"> экспертов для рассмотрения правовых вопросов, связанных с этими процедурами, по итогам вышеупомянутого </w:t>
      </w:r>
      <w:r w:rsidR="00B57441">
        <w:rPr>
          <w:snapToGrid w:val="0"/>
          <w:lang w:val="ru-RU"/>
        </w:rPr>
        <w:t>совещания</w:t>
      </w:r>
      <w:r w:rsidRPr="00843977">
        <w:rPr>
          <w:snapToGrid w:val="0"/>
          <w:lang w:val="ru-RU"/>
        </w:rPr>
        <w:t xml:space="preserve">, </w:t>
      </w:r>
      <w:r w:rsidRPr="00843977">
        <w:rPr>
          <w:lang w:val="ru-RU"/>
        </w:rPr>
        <w:t>предоставить результаты этой работы для обсуждения в рамках виртуальных мероприятий, таких как глобальные</w:t>
      </w:r>
      <w:proofErr w:type="gramEnd"/>
      <w:r w:rsidRPr="00843977">
        <w:rPr>
          <w:lang w:val="ru-RU"/>
        </w:rPr>
        <w:t xml:space="preserve"> </w:t>
      </w:r>
      <w:proofErr w:type="gramStart"/>
      <w:r w:rsidRPr="00843977">
        <w:rPr>
          <w:lang w:val="ru-RU"/>
        </w:rPr>
        <w:t>и/или региональные вебинары, открытые комментарии Сторон и других правительств и обсуждение Неофициальной консультативной группой</w:t>
      </w:r>
      <w:r w:rsidR="007043D1">
        <w:rPr>
          <w:lang w:val="ru-RU"/>
        </w:rPr>
        <w:t xml:space="preserve"> по </w:t>
      </w:r>
      <w:r w:rsidR="007043D1" w:rsidRPr="00843977">
        <w:rPr>
          <w:lang w:val="ru-RU"/>
        </w:rPr>
        <w:t>экологически или биологически значимы</w:t>
      </w:r>
      <w:r w:rsidR="007043D1">
        <w:rPr>
          <w:lang w:val="ru-RU"/>
        </w:rPr>
        <w:t>м</w:t>
      </w:r>
      <w:r w:rsidR="007043D1" w:rsidRPr="00843977">
        <w:rPr>
          <w:lang w:val="ru-RU"/>
        </w:rPr>
        <w:t xml:space="preserve"> морски</w:t>
      </w:r>
      <w:r w:rsidR="007043D1">
        <w:rPr>
          <w:lang w:val="ru-RU"/>
        </w:rPr>
        <w:t>м</w:t>
      </w:r>
      <w:r w:rsidR="007043D1" w:rsidRPr="00843977">
        <w:rPr>
          <w:lang w:val="ru-RU"/>
        </w:rPr>
        <w:t xml:space="preserve"> район</w:t>
      </w:r>
      <w:r w:rsidR="007043D1">
        <w:rPr>
          <w:lang w:val="ru-RU"/>
        </w:rPr>
        <w:t>ам</w:t>
      </w:r>
      <w:r w:rsidRPr="00843977">
        <w:rPr>
          <w:lang w:val="ru-RU"/>
        </w:rPr>
        <w:t xml:space="preserve">, и представить итоги этой работы на одном из предстоящих совещаний </w:t>
      </w:r>
      <w:r w:rsidRPr="00843977">
        <w:rPr>
          <w:snapToGrid w:val="0"/>
          <w:lang w:val="ru-RU"/>
        </w:rPr>
        <w:t xml:space="preserve">Вспомогательного органа по научным, техническим и технологическим консультациям </w:t>
      </w:r>
      <w:r w:rsidRPr="00843977">
        <w:rPr>
          <w:lang w:val="ru-RU"/>
        </w:rPr>
        <w:t>и/или Вспомогательного органа по осуществлению, для рассмотрения до начала 16</w:t>
      </w:r>
      <w:r w:rsidR="007043D1">
        <w:rPr>
          <w:lang w:val="ru-RU"/>
        </w:rPr>
        <w:t>-</w:t>
      </w:r>
      <w:r w:rsidRPr="00843977">
        <w:rPr>
          <w:lang w:val="ru-RU"/>
        </w:rPr>
        <w:t xml:space="preserve">го совещания Конференции Сторон, в целях принятия </w:t>
      </w:r>
      <w:r w:rsidRPr="00843977">
        <w:rPr>
          <w:snapToGrid w:val="0"/>
          <w:lang w:val="ru-RU"/>
        </w:rPr>
        <w:t>процедур изменения описаний</w:t>
      </w:r>
      <w:proofErr w:type="gramEnd"/>
      <w:r w:rsidRPr="00843977">
        <w:rPr>
          <w:snapToGrid w:val="0"/>
          <w:lang w:val="ru-RU"/>
        </w:rPr>
        <w:t xml:space="preserve"> экологически или биологически значимых морских районов и описания новых районов</w:t>
      </w:r>
      <w:r w:rsidRPr="00843977">
        <w:rPr>
          <w:lang w:val="ru-RU"/>
        </w:rPr>
        <w:t xml:space="preserve"> на 16</w:t>
      </w:r>
      <w:r w:rsidR="007043D1">
        <w:rPr>
          <w:lang w:val="ru-RU"/>
        </w:rPr>
        <w:t>-</w:t>
      </w:r>
      <w:r w:rsidRPr="00843977">
        <w:rPr>
          <w:lang w:val="ru-RU"/>
        </w:rPr>
        <w:t>м совещании Конференции Сторон;</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kern w:val="22"/>
          <w:szCs w:val="22"/>
          <w:lang w:val="ru-RU"/>
        </w:rPr>
      </w:pPr>
      <w:proofErr w:type="gramStart"/>
      <w:r w:rsidRPr="00843977">
        <w:rPr>
          <w:lang w:val="ru-RU"/>
        </w:rPr>
        <w:t>5.</w:t>
      </w:r>
      <w:r w:rsidRPr="00843977">
        <w:rPr>
          <w:lang w:val="ru-RU"/>
        </w:rPr>
        <w:tab/>
      </w:r>
      <w:r w:rsidR="007043D1" w:rsidRPr="007043D1">
        <w:rPr>
          <w:i/>
          <w:lang w:val="ru-RU"/>
        </w:rPr>
        <w:t>также</w:t>
      </w:r>
      <w:r w:rsidR="007043D1">
        <w:rPr>
          <w:lang w:val="ru-RU"/>
        </w:rPr>
        <w:t xml:space="preserve"> </w:t>
      </w:r>
      <w:r w:rsidRPr="00843977">
        <w:rPr>
          <w:i/>
          <w:iCs/>
          <w:lang w:val="ru-RU"/>
        </w:rPr>
        <w:t>поручает</w:t>
      </w:r>
      <w:r w:rsidRPr="00843977">
        <w:rPr>
          <w:lang w:val="ru-RU"/>
        </w:rPr>
        <w:t xml:space="preserve"> Исполнительному секретарю подготовить проект круга полномочий «соответствующего экспертного консультативного органа» применительно к процедурам изменения описаний экологически или биологически значимых морских районов и описания новых районов, </w:t>
      </w:r>
      <w:r w:rsidR="005C235F">
        <w:rPr>
          <w:lang w:val="ru-RU"/>
        </w:rPr>
        <w:t xml:space="preserve">прилагаемых к рекомендации 24/10 </w:t>
      </w:r>
      <w:r w:rsidR="005C235F" w:rsidRPr="00843977">
        <w:rPr>
          <w:snapToGrid w:val="0"/>
          <w:lang w:val="ru-RU"/>
        </w:rPr>
        <w:t>Вспомогательного органа по научным, техническим и технологическим консультациям</w:t>
      </w:r>
      <w:r w:rsidR="00A0077D" w:rsidRPr="00A0077D">
        <w:rPr>
          <w:snapToGrid w:val="0"/>
          <w:vertAlign w:val="superscript"/>
          <w:lang w:val="ru-RU"/>
        </w:rPr>
        <w:t>5</w:t>
      </w:r>
      <w:r w:rsidRPr="00843977">
        <w:rPr>
          <w:lang w:val="ru-RU"/>
        </w:rPr>
        <w:t xml:space="preserve">, без ущерба для принятия решений по этому вопросу в будущем, для </w:t>
      </w:r>
      <w:r w:rsidRPr="00843977">
        <w:rPr>
          <w:snapToGrid w:val="0"/>
          <w:lang w:val="ru-RU"/>
        </w:rPr>
        <w:t>последующего рассмотрения Вспомогательным органом по научным, техническим и</w:t>
      </w:r>
      <w:proofErr w:type="gramEnd"/>
      <w:r w:rsidRPr="00843977">
        <w:rPr>
          <w:snapToGrid w:val="0"/>
          <w:lang w:val="ru-RU"/>
        </w:rPr>
        <w:t xml:space="preserve"> технологическим консультациям до начала 16-го совещания Конференции Сторон;</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iCs/>
          <w:snapToGrid w:val="0"/>
          <w:kern w:val="22"/>
          <w:szCs w:val="22"/>
          <w:lang w:val="ru-RU"/>
        </w:rPr>
      </w:pPr>
      <w:r w:rsidRPr="00843977">
        <w:rPr>
          <w:snapToGrid w:val="0"/>
          <w:lang w:val="ru-RU"/>
        </w:rPr>
        <w:t>6.</w:t>
      </w:r>
      <w:r w:rsidRPr="00843977">
        <w:rPr>
          <w:snapToGrid w:val="0"/>
          <w:lang w:val="ru-RU"/>
        </w:rPr>
        <w:tab/>
      </w:r>
      <w:r w:rsidR="007043D1" w:rsidRPr="007043D1">
        <w:rPr>
          <w:i/>
          <w:snapToGrid w:val="0"/>
          <w:lang w:val="ru-RU"/>
        </w:rPr>
        <w:t>далее</w:t>
      </w:r>
      <w:r w:rsidRPr="00843977">
        <w:rPr>
          <w:i/>
          <w:snapToGrid w:val="0"/>
          <w:lang w:val="ru-RU"/>
        </w:rPr>
        <w:t xml:space="preserve"> </w:t>
      </w:r>
      <w:r w:rsidRPr="00843977">
        <w:rPr>
          <w:i/>
          <w:iCs/>
          <w:snapToGrid w:val="0"/>
          <w:lang w:val="ru-RU"/>
        </w:rPr>
        <w:t>поручает</w:t>
      </w:r>
      <w:r w:rsidRPr="00843977">
        <w:rPr>
          <w:snapToGrid w:val="0"/>
          <w:lang w:val="ru-RU"/>
        </w:rPr>
        <w:t xml:space="preserve"> Исполнительному секретарю под руководством бюро Вспомогательного органа по научным, техническим и технологическим консультациям подготовить добровольные руководящие принципы для процессов коллегиального обзора по</w:t>
      </w:r>
      <w:r w:rsidRPr="00843977">
        <w:rPr>
          <w:lang w:val="ru-RU"/>
        </w:rPr>
        <w:t xml:space="preserve"> </w:t>
      </w:r>
      <w:r w:rsidRPr="00843977">
        <w:rPr>
          <w:snapToGrid w:val="0"/>
          <w:lang w:val="ru-RU"/>
        </w:rPr>
        <w:t>описанию районов, отвечающих критериям в отношении экологически или биологически значимых морских районов и другим сопоставимым и дополняющим научным критериям, для последующего рассмотрения Вспомогательным органом по научным, техническим и технологическим консультациям до начала 16-го совещания Конференции Сторон;</w:t>
      </w:r>
      <w:r w:rsidRPr="00843977">
        <w:rPr>
          <w:lang w:val="ru-RU"/>
        </w:rPr>
        <w:t xml:space="preserve"> </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szCs w:val="22"/>
          <w:lang w:val="ru-RU"/>
        </w:rPr>
      </w:pPr>
      <w:r w:rsidRPr="00843977">
        <w:rPr>
          <w:snapToGrid w:val="0"/>
          <w:lang w:val="ru-RU"/>
        </w:rPr>
        <w:t>7.</w:t>
      </w:r>
      <w:r w:rsidRPr="00843977">
        <w:rPr>
          <w:snapToGrid w:val="0"/>
          <w:lang w:val="ru-RU"/>
        </w:rPr>
        <w:tab/>
      </w:r>
      <w:r w:rsidRPr="00843977">
        <w:rPr>
          <w:i/>
          <w:iCs/>
          <w:lang w:val="ru-RU"/>
        </w:rPr>
        <w:t>призывает</w:t>
      </w:r>
      <w:r w:rsidRPr="00843977">
        <w:rPr>
          <w:lang w:val="ru-RU"/>
        </w:rPr>
        <w:t xml:space="preserve"> Стороны и </w:t>
      </w:r>
      <w:r w:rsidRPr="007043D1">
        <w:rPr>
          <w:iCs/>
          <w:lang w:val="ru-RU"/>
        </w:rPr>
        <w:t>предлагает</w:t>
      </w:r>
      <w:r w:rsidRPr="00843977">
        <w:rPr>
          <w:lang w:val="ru-RU"/>
        </w:rPr>
        <w:t xml:space="preserve"> другим правительствам принять во внимание опыт и результаты процесса </w:t>
      </w:r>
      <w:r w:rsidR="00A56C4F">
        <w:rPr>
          <w:lang w:val="ru-RU"/>
        </w:rPr>
        <w:t xml:space="preserve">для </w:t>
      </w:r>
      <w:r w:rsidR="00A56C4F" w:rsidRPr="00A56C4F">
        <w:rPr>
          <w:lang w:val="ru-RU"/>
        </w:rPr>
        <w:t xml:space="preserve">содействия описанию экологически или биологически значимых морских районов </w:t>
      </w:r>
      <w:r w:rsidRPr="00843977">
        <w:rPr>
          <w:lang w:val="ru-RU"/>
        </w:rPr>
        <w:t>в обсуждениях по вопросу об имеющем обязательную силу международном документе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w:t>
      </w:r>
    </w:p>
    <w:p w:rsidR="00843977" w:rsidRPr="00843977" w:rsidRDefault="00843977" w:rsidP="00843977">
      <w:pPr>
        <w:suppressLineNumbers/>
        <w:suppressAutoHyphens/>
        <w:kinsoku w:val="0"/>
        <w:overflowPunct w:val="0"/>
        <w:autoSpaceDE w:val="0"/>
        <w:autoSpaceDN w:val="0"/>
        <w:adjustRightInd w:val="0"/>
        <w:snapToGrid w:val="0"/>
        <w:spacing w:before="120" w:after="120"/>
        <w:ind w:firstLine="720"/>
        <w:rPr>
          <w:szCs w:val="22"/>
          <w:lang w:val="ru-RU"/>
        </w:rPr>
      </w:pPr>
      <w:r w:rsidRPr="00843977">
        <w:rPr>
          <w:lang w:val="ru-RU"/>
        </w:rPr>
        <w:t xml:space="preserve">8. </w:t>
      </w:r>
      <w:r w:rsidRPr="00843977">
        <w:rPr>
          <w:lang w:val="ru-RU"/>
        </w:rPr>
        <w:tab/>
      </w:r>
      <w:r w:rsidR="00910951">
        <w:rPr>
          <w:i/>
          <w:iCs/>
          <w:lang w:val="ru-RU"/>
        </w:rPr>
        <w:t>предлагает</w:t>
      </w:r>
      <w:r w:rsidRPr="00843977">
        <w:rPr>
          <w:lang w:val="ru-RU"/>
        </w:rPr>
        <w:t xml:space="preserve"> Сторон</w:t>
      </w:r>
      <w:r w:rsidR="00910951">
        <w:rPr>
          <w:lang w:val="ru-RU"/>
        </w:rPr>
        <w:t>ам</w:t>
      </w:r>
      <w:r w:rsidRPr="00843977">
        <w:rPr>
          <w:lang w:val="ru-RU"/>
        </w:rPr>
        <w:t xml:space="preserve"> и други</w:t>
      </w:r>
      <w:r w:rsidR="00910951">
        <w:rPr>
          <w:lang w:val="ru-RU"/>
        </w:rPr>
        <w:t>м</w:t>
      </w:r>
      <w:r w:rsidRPr="00843977">
        <w:rPr>
          <w:lang w:val="ru-RU"/>
        </w:rPr>
        <w:t xml:space="preserve"> правительства</w:t>
      </w:r>
      <w:r w:rsidR="00910951">
        <w:rPr>
          <w:lang w:val="ru-RU"/>
        </w:rPr>
        <w:t>м</w:t>
      </w:r>
      <w:r w:rsidRPr="00843977">
        <w:rPr>
          <w:lang w:val="ru-RU"/>
        </w:rPr>
        <w:t xml:space="preserve"> учитывать опыт и результаты процесса </w:t>
      </w:r>
      <w:r w:rsidR="00913A9D">
        <w:rPr>
          <w:lang w:val="ru-RU"/>
        </w:rPr>
        <w:t xml:space="preserve">для </w:t>
      </w:r>
      <w:r w:rsidR="00913A9D" w:rsidRPr="00A56C4F">
        <w:rPr>
          <w:lang w:val="ru-RU"/>
        </w:rPr>
        <w:t>содействия описанию экологически или биологически значимых морских районов</w:t>
      </w:r>
      <w:r w:rsidRPr="00843977">
        <w:rPr>
          <w:lang w:val="ru-RU"/>
        </w:rPr>
        <w:t xml:space="preserve"> при анализе рисков и последствий добычи полезных ископаемых на морском дне, в том числе в контексте обсуждений в рамках Международного органа по морскому дну; </w:t>
      </w:r>
    </w:p>
    <w:p w:rsidR="00843977" w:rsidRDefault="00843977" w:rsidP="00843977">
      <w:pPr>
        <w:suppressLineNumbers/>
        <w:suppressAutoHyphens/>
        <w:kinsoku w:val="0"/>
        <w:overflowPunct w:val="0"/>
        <w:autoSpaceDE w:val="0"/>
        <w:autoSpaceDN w:val="0"/>
        <w:adjustRightInd w:val="0"/>
        <w:snapToGrid w:val="0"/>
        <w:spacing w:before="120" w:after="120"/>
        <w:ind w:firstLine="720"/>
        <w:rPr>
          <w:lang w:val="ru-RU"/>
        </w:rPr>
      </w:pPr>
      <w:proofErr w:type="gramStart"/>
      <w:r w:rsidRPr="00843977">
        <w:rPr>
          <w:lang w:val="ru-RU"/>
        </w:rPr>
        <w:t xml:space="preserve">9. </w:t>
      </w:r>
      <w:r w:rsidRPr="00843977">
        <w:rPr>
          <w:lang w:val="ru-RU"/>
        </w:rPr>
        <w:tab/>
      </w:r>
      <w:r w:rsidR="001C5C48">
        <w:rPr>
          <w:i/>
          <w:iCs/>
          <w:lang w:val="ru-RU"/>
        </w:rPr>
        <w:t>призывает</w:t>
      </w:r>
      <w:r w:rsidRPr="00843977">
        <w:rPr>
          <w:lang w:val="ru-RU"/>
        </w:rPr>
        <w:t xml:space="preserve"> </w:t>
      </w:r>
      <w:r w:rsidR="001C5C48">
        <w:rPr>
          <w:lang w:val="ru-RU"/>
        </w:rPr>
        <w:t xml:space="preserve">к </w:t>
      </w:r>
      <w:r w:rsidRPr="00843977">
        <w:rPr>
          <w:lang w:val="ru-RU"/>
        </w:rPr>
        <w:t>дальнейше</w:t>
      </w:r>
      <w:r w:rsidR="001C5C48">
        <w:rPr>
          <w:lang w:val="ru-RU"/>
        </w:rPr>
        <w:t>му</w:t>
      </w:r>
      <w:r w:rsidRPr="00843977">
        <w:rPr>
          <w:lang w:val="ru-RU"/>
        </w:rPr>
        <w:t xml:space="preserve"> сотрудничеств</w:t>
      </w:r>
      <w:r w:rsidR="001C5C48">
        <w:rPr>
          <w:lang w:val="ru-RU"/>
        </w:rPr>
        <w:t>у</w:t>
      </w:r>
      <w:r w:rsidRPr="00843977">
        <w:rPr>
          <w:lang w:val="ru-RU"/>
        </w:rPr>
        <w:t xml:space="preserve"> и обмен</w:t>
      </w:r>
      <w:r w:rsidR="001C5C48">
        <w:rPr>
          <w:lang w:val="ru-RU"/>
        </w:rPr>
        <w:t>у</w:t>
      </w:r>
      <w:r w:rsidRPr="00843977">
        <w:rPr>
          <w:lang w:val="ru-RU"/>
        </w:rPr>
        <w:t xml:space="preserve"> информацией между секретариатом Конвенции о биологическом разнообразии, Продовольственной и сельскохозяйственной организацией Объединенных Наций, Международной морской организацией, Международным органом по морскому дну, Отделом по вопросам океана и морскому праву, Межправительственной океанографической комиссией </w:t>
      </w:r>
      <w:r w:rsidR="00913A9D" w:rsidRPr="00913A9D">
        <w:rPr>
          <w:lang w:val="ru-RU"/>
        </w:rPr>
        <w:t>Организаци</w:t>
      </w:r>
      <w:r w:rsidR="002A37F4">
        <w:rPr>
          <w:lang w:val="ru-RU"/>
        </w:rPr>
        <w:t>и</w:t>
      </w:r>
      <w:r w:rsidR="00913A9D" w:rsidRPr="00913A9D">
        <w:rPr>
          <w:lang w:val="ru-RU"/>
        </w:rPr>
        <w:t xml:space="preserve"> Объединенных Наций по вопросам образования, науки и культуры </w:t>
      </w:r>
      <w:r w:rsidRPr="00843977">
        <w:rPr>
          <w:lang w:val="ru-RU"/>
        </w:rPr>
        <w:t>и секретариатами Межправительственной научно-политической платформы по биоразнообразию и экосистемным услугам и Межправительственной группы</w:t>
      </w:r>
      <w:proofErr w:type="gramEnd"/>
      <w:r w:rsidRPr="00843977">
        <w:rPr>
          <w:lang w:val="ru-RU"/>
        </w:rPr>
        <w:t xml:space="preserve"> </w:t>
      </w:r>
      <w:proofErr w:type="gramStart"/>
      <w:r w:rsidRPr="00843977">
        <w:rPr>
          <w:lang w:val="ru-RU"/>
        </w:rPr>
        <w:t>экспертов по изменению климата, а также региональными рыбохозяйственными органами, конвенциями и планами действий по региональным морям и другими соответствующими международными организациями касательно использования информации об экологически или биологически значимых морских районах, включая самую передовую научную информацию и традиционные знания коренных народов и местных общин с их добровольного, предварительного и обоснованного согласия</w:t>
      </w:r>
      <w:r w:rsidRPr="00064264">
        <w:rPr>
          <w:rStyle w:val="Appelnotedebasdep"/>
          <w:szCs w:val="22"/>
        </w:rPr>
        <w:footnoteReference w:id="6"/>
      </w:r>
      <w:r w:rsidR="0048269C">
        <w:rPr>
          <w:lang w:val="ru-RU"/>
        </w:rPr>
        <w:t xml:space="preserve">, </w:t>
      </w:r>
      <w:r w:rsidRPr="00843977">
        <w:rPr>
          <w:lang w:val="ru-RU"/>
        </w:rPr>
        <w:t>в качестве одной из ключевых единиц информации, которая может</w:t>
      </w:r>
      <w:proofErr w:type="gramEnd"/>
      <w:r w:rsidRPr="00843977">
        <w:rPr>
          <w:lang w:val="ru-RU"/>
        </w:rPr>
        <w:t xml:space="preserve"> </w:t>
      </w:r>
      <w:proofErr w:type="gramStart"/>
      <w:r w:rsidRPr="00843977">
        <w:rPr>
          <w:lang w:val="ru-RU"/>
        </w:rPr>
        <w:t xml:space="preserve">использоваться среди прочего в качестве руководства и для взаимного обучения в области использования зонально привязанных инструментов хозяйствования, включая уязвимые морские экосистемы, особо уязвимые морские районы и районы, представляющие особый экологический интерес, районы, представляющие важность для морских млекопитающих, среди прочих подходов, в целях содействия осуществлению </w:t>
      </w:r>
      <w:r w:rsidR="00913A9D">
        <w:rPr>
          <w:snapToGrid w:val="0"/>
          <w:szCs w:val="18"/>
          <w:lang w:val="ru-RU"/>
        </w:rPr>
        <w:t>Куньминско-Монреальской глобальной рамочной программы в области биоразнообразия</w:t>
      </w:r>
      <w:r w:rsidRPr="00843977">
        <w:rPr>
          <w:lang w:val="ru-RU"/>
        </w:rPr>
        <w:t xml:space="preserve"> и достижению целей в области устойчивого развития.</w:t>
      </w:r>
      <w:proofErr w:type="gramEnd"/>
    </w:p>
    <w:p w:rsidR="007F3DDD" w:rsidRDefault="007F3DDD" w:rsidP="007F3DDD">
      <w:pPr>
        <w:jc w:val="center"/>
      </w:pPr>
      <w:r w:rsidRPr="00C9161D">
        <w:t>______</w:t>
      </w:r>
    </w:p>
    <w:p w:rsidR="007F3DDD" w:rsidRPr="00C9161D" w:rsidRDefault="007F3DDD" w:rsidP="007F3DDD"/>
    <w:sectPr w:rsidR="007F3DDD" w:rsidRPr="00C9161D" w:rsidSect="00175D87">
      <w:headerReference w:type="even" r:id="rId17"/>
      <w:headerReference w:type="default" r:id="rId18"/>
      <w:pgSz w:w="12240" w:h="15840"/>
      <w:pgMar w:top="567" w:right="1440" w:bottom="993"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AF" w:rsidRDefault="00046DAF" w:rsidP="00CF1848">
      <w:r>
        <w:separator/>
      </w:r>
    </w:p>
  </w:endnote>
  <w:endnote w:type="continuationSeparator" w:id="0">
    <w:p w:rsidR="00046DAF" w:rsidRDefault="00046DAF"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AF" w:rsidRDefault="00046DAF" w:rsidP="00CF1848">
      <w:r>
        <w:separator/>
      </w:r>
    </w:p>
  </w:footnote>
  <w:footnote w:type="continuationSeparator" w:id="0">
    <w:p w:rsidR="00046DAF" w:rsidRDefault="00046DAF" w:rsidP="00CF1848">
      <w:r>
        <w:continuationSeparator/>
      </w:r>
    </w:p>
  </w:footnote>
  <w:footnote w:id="1">
    <w:p w:rsidR="00D523FB" w:rsidRPr="007043D1" w:rsidRDefault="00D523FB" w:rsidP="00D523FB">
      <w:pPr>
        <w:pStyle w:val="Notedebasdepage"/>
        <w:ind w:firstLine="0"/>
        <w:rPr>
          <w:szCs w:val="18"/>
          <w:lang w:val="ru-RU"/>
        </w:rPr>
      </w:pPr>
      <w:r w:rsidRPr="00980BF7">
        <w:rPr>
          <w:rStyle w:val="Appelnotedebasdep"/>
          <w:sz w:val="18"/>
          <w:szCs w:val="18"/>
        </w:rPr>
        <w:footnoteRef/>
      </w:r>
      <w:r w:rsidRPr="00D523FB">
        <w:rPr>
          <w:szCs w:val="18"/>
          <w:lang w:val="ru-RU"/>
        </w:rPr>
        <w:t xml:space="preserve"> </w:t>
      </w:r>
      <w:r w:rsidRPr="007043D1">
        <w:rPr>
          <w:szCs w:val="18"/>
          <w:lang w:val="ru-RU"/>
        </w:rPr>
        <w:t xml:space="preserve">Турция </w:t>
      </w:r>
      <w:r w:rsidR="007043D1" w:rsidRPr="007043D1">
        <w:rPr>
          <w:bCs/>
          <w:szCs w:val="18"/>
          <w:lang w:val="ru-RU"/>
        </w:rPr>
        <w:t>дистанцируется</w:t>
      </w:r>
      <w:r w:rsidR="007043D1" w:rsidRPr="007043D1">
        <w:rPr>
          <w:b/>
          <w:bCs/>
          <w:szCs w:val="18"/>
          <w:lang w:val="ru-RU"/>
        </w:rPr>
        <w:t xml:space="preserve"> </w:t>
      </w:r>
      <w:r w:rsidR="003D55EF" w:rsidRPr="007043D1">
        <w:rPr>
          <w:szCs w:val="18"/>
          <w:lang w:val="ru-RU"/>
        </w:rPr>
        <w:t>от</w:t>
      </w:r>
      <w:r w:rsidRPr="007043D1">
        <w:rPr>
          <w:szCs w:val="18"/>
          <w:lang w:val="ru-RU"/>
        </w:rPr>
        <w:t xml:space="preserve"> ссылк</w:t>
      </w:r>
      <w:r w:rsidR="003D55EF" w:rsidRPr="007043D1">
        <w:rPr>
          <w:szCs w:val="18"/>
          <w:lang w:val="ru-RU"/>
        </w:rPr>
        <w:t>и</w:t>
      </w:r>
      <w:r w:rsidRPr="007043D1">
        <w:rPr>
          <w:szCs w:val="18"/>
          <w:lang w:val="ru-RU"/>
        </w:rPr>
        <w:t xml:space="preserve"> на Конвенцию ООН по морскому праву, участником которой она не является. Участие</w:t>
      </w:r>
      <w:r w:rsidR="007043D1" w:rsidRPr="007043D1">
        <w:rPr>
          <w:lang w:val="ru-RU"/>
        </w:rPr>
        <w:t xml:space="preserve"> </w:t>
      </w:r>
      <w:r w:rsidR="007043D1">
        <w:rPr>
          <w:lang w:val="ru-RU"/>
        </w:rPr>
        <w:t xml:space="preserve">Турции </w:t>
      </w:r>
      <w:r w:rsidR="007043D1" w:rsidRPr="001810B3">
        <w:rPr>
          <w:lang w:val="ru-RU"/>
        </w:rPr>
        <w:t xml:space="preserve">в дискуссиях по данному пункту повестки дня в ходе КС-15 </w:t>
      </w:r>
      <w:r w:rsidRPr="007043D1">
        <w:rPr>
          <w:szCs w:val="18"/>
          <w:lang w:val="ru-RU"/>
        </w:rPr>
        <w:t>не может быть истолковано как изменение общеизвестной правовой позиции Турции в отношении названного документа.</w:t>
      </w:r>
    </w:p>
  </w:footnote>
  <w:footnote w:id="2">
    <w:p w:rsidR="00D523FB" w:rsidRPr="00D523FB" w:rsidRDefault="00D523FB" w:rsidP="00D523FB">
      <w:pPr>
        <w:pStyle w:val="Notedebasdepage"/>
        <w:ind w:firstLine="0"/>
        <w:rPr>
          <w:lang w:val="ru-RU"/>
        </w:rPr>
      </w:pPr>
      <w:r w:rsidRPr="00980BF7">
        <w:rPr>
          <w:rStyle w:val="Appelnotedebasdep"/>
          <w:sz w:val="18"/>
          <w:szCs w:val="18"/>
        </w:rPr>
        <w:footnoteRef/>
      </w:r>
      <w:r w:rsidRPr="00D523FB">
        <w:rPr>
          <w:szCs w:val="18"/>
          <w:lang w:val="ru-RU"/>
        </w:rPr>
        <w:t xml:space="preserve"> Колумбия подтверждает, что Конвенция ООН по морскому праву не является единственным правовым документом, регулирующим всю правовую деятельность, осуществляемую в отношении морей и океанов. Участие Колумбии</w:t>
      </w:r>
      <w:r w:rsidR="007043D1" w:rsidRPr="007043D1">
        <w:rPr>
          <w:lang w:val="ru-RU"/>
        </w:rPr>
        <w:t xml:space="preserve"> </w:t>
      </w:r>
      <w:r w:rsidR="007043D1" w:rsidRPr="001810B3">
        <w:rPr>
          <w:lang w:val="ru-RU"/>
        </w:rPr>
        <w:t xml:space="preserve">в дискуссиях по данному пункту повестки дня в ходе КС-15 </w:t>
      </w:r>
      <w:r w:rsidRPr="00D523FB">
        <w:rPr>
          <w:szCs w:val="18"/>
          <w:lang w:val="ru-RU"/>
        </w:rPr>
        <w:t>не затрагивает ее статуса или прав и не может быть истолковано как молчаливое или явно выраженное принятие положений Конвенц</w:t>
      </w:r>
      <w:proofErr w:type="gramStart"/>
      <w:r w:rsidRPr="00D523FB">
        <w:rPr>
          <w:szCs w:val="18"/>
          <w:lang w:val="ru-RU"/>
        </w:rPr>
        <w:t>ии ОО</w:t>
      </w:r>
      <w:proofErr w:type="gramEnd"/>
      <w:r w:rsidRPr="00D523FB">
        <w:rPr>
          <w:szCs w:val="18"/>
          <w:lang w:val="ru-RU"/>
        </w:rPr>
        <w:t xml:space="preserve">Н по морскому праву </w:t>
      </w:r>
      <w:r w:rsidR="003D55EF">
        <w:rPr>
          <w:szCs w:val="18"/>
          <w:lang w:val="ru-RU"/>
        </w:rPr>
        <w:sym w:font="Symbol" w:char="F02D"/>
      </w:r>
      <w:r w:rsidRPr="00D523FB">
        <w:rPr>
          <w:szCs w:val="18"/>
          <w:lang w:val="ru-RU"/>
        </w:rPr>
        <w:t xml:space="preserve"> договора, участником которого Колумбия не является.</w:t>
      </w:r>
    </w:p>
  </w:footnote>
  <w:footnote w:id="3">
    <w:p w:rsidR="001810B3" w:rsidRPr="001810B3" w:rsidRDefault="001810B3" w:rsidP="001810B3">
      <w:pPr>
        <w:pStyle w:val="Notedebasdepage"/>
        <w:ind w:firstLine="0"/>
        <w:rPr>
          <w:szCs w:val="18"/>
          <w:lang w:val="fr-FR"/>
        </w:rPr>
      </w:pPr>
      <w:r w:rsidRPr="001D3924">
        <w:rPr>
          <w:rStyle w:val="Appelnotedebasdep"/>
        </w:rPr>
        <w:footnoteRef/>
      </w:r>
      <w:r w:rsidRPr="001D3924">
        <w:t xml:space="preserve"> </w:t>
      </w:r>
      <w:r w:rsidRPr="001810B3">
        <w:rPr>
          <w:lang w:val="ru-RU"/>
        </w:rPr>
        <w:t xml:space="preserve">Боливарианская Республика Венесуэла считает, что Конвенция Организации Объединенных Наций по морскому праву не является единственным правовым документом, регулирующим деятельность, связанную с морями и океанами. Поэтому Венесуэла </w:t>
      </w:r>
      <w:r w:rsidR="007043D1" w:rsidRPr="007043D1">
        <w:rPr>
          <w:bCs/>
          <w:szCs w:val="18"/>
          <w:lang w:val="ru-RU"/>
        </w:rPr>
        <w:t>дистанцируется</w:t>
      </w:r>
      <w:r w:rsidR="007043D1" w:rsidRPr="007043D1">
        <w:rPr>
          <w:b/>
          <w:bCs/>
          <w:szCs w:val="18"/>
          <w:lang w:val="ru-RU"/>
        </w:rPr>
        <w:t xml:space="preserve"> </w:t>
      </w:r>
      <w:r w:rsidRPr="001810B3">
        <w:rPr>
          <w:lang w:val="ru-RU"/>
        </w:rPr>
        <w:t xml:space="preserve">от ссылки на этот международный документ, </w:t>
      </w:r>
      <w:r>
        <w:rPr>
          <w:lang w:val="ru-RU"/>
        </w:rPr>
        <w:t>а ее</w:t>
      </w:r>
      <w:r w:rsidRPr="001810B3">
        <w:rPr>
          <w:lang w:val="ru-RU"/>
        </w:rPr>
        <w:t xml:space="preserve"> участие в дискуссиях по данному пункту повестки дня в ходе КС-15 не может рассматриваться как изменение национальной позиции Венесуэлы в отношении Конвенц</w:t>
      </w:r>
      <w:proofErr w:type="gramStart"/>
      <w:r w:rsidRPr="001810B3">
        <w:rPr>
          <w:lang w:val="ru-RU"/>
        </w:rPr>
        <w:t>ии ОО</w:t>
      </w:r>
      <w:proofErr w:type="gramEnd"/>
      <w:r w:rsidRPr="001810B3">
        <w:rPr>
          <w:lang w:val="ru-RU"/>
        </w:rPr>
        <w:t>Н по морскому праву.</w:t>
      </w:r>
    </w:p>
  </w:footnote>
  <w:footnote w:id="4">
    <w:p w:rsidR="00843977" w:rsidRPr="003D55EF" w:rsidRDefault="00843977" w:rsidP="00843977">
      <w:pPr>
        <w:pStyle w:val="Notedebasdepage"/>
        <w:suppressLineNumbers/>
        <w:suppressAutoHyphens/>
        <w:kinsoku w:val="0"/>
        <w:overflowPunct w:val="0"/>
        <w:autoSpaceDE w:val="0"/>
        <w:autoSpaceDN w:val="0"/>
        <w:ind w:firstLine="0"/>
        <w:jc w:val="left"/>
        <w:rPr>
          <w:kern w:val="18"/>
          <w:szCs w:val="18"/>
          <w:lang w:val="ru-RU"/>
        </w:rPr>
      </w:pPr>
      <w:r>
        <w:rPr>
          <w:rStyle w:val="Appelnotedebasdep"/>
          <w:rFonts w:eastAsiaTheme="majorEastAsia"/>
          <w:kern w:val="18"/>
          <w:szCs w:val="18"/>
        </w:rPr>
        <w:footnoteRef/>
      </w:r>
      <w:r w:rsidRPr="003D55EF">
        <w:rPr>
          <w:lang w:val="ru-RU"/>
        </w:rPr>
        <w:t xml:space="preserve"> </w:t>
      </w:r>
      <w:proofErr w:type="gramStart"/>
      <w:r>
        <w:t>CBD</w:t>
      </w:r>
      <w:r w:rsidRPr="003D55EF">
        <w:rPr>
          <w:lang w:val="ru-RU"/>
        </w:rPr>
        <w:t>/</w:t>
      </w:r>
      <w:r>
        <w:t>EBSA</w:t>
      </w:r>
      <w:r w:rsidRPr="003D55EF">
        <w:rPr>
          <w:lang w:val="ru-RU"/>
        </w:rPr>
        <w:t>/</w:t>
      </w:r>
      <w:r>
        <w:t>WS</w:t>
      </w:r>
      <w:r w:rsidRPr="003D55EF">
        <w:rPr>
          <w:lang w:val="ru-RU"/>
        </w:rPr>
        <w:t>/2020/1/2.</w:t>
      </w:r>
      <w:proofErr w:type="gramEnd"/>
    </w:p>
  </w:footnote>
  <w:footnote w:id="5">
    <w:p w:rsidR="00D523FB" w:rsidRPr="000D2996" w:rsidRDefault="00D523FB" w:rsidP="00D523FB">
      <w:pPr>
        <w:pStyle w:val="Notedebasdepage"/>
        <w:ind w:firstLine="0"/>
        <w:rPr>
          <w:lang w:val="ru-RU"/>
        </w:rPr>
      </w:pPr>
      <w:r>
        <w:rPr>
          <w:rStyle w:val="Appelnotedebasdep"/>
        </w:rPr>
        <w:footnoteRef/>
      </w:r>
      <w:r w:rsidRPr="000D2996">
        <w:rPr>
          <w:lang w:val="ru-RU"/>
        </w:rPr>
        <w:t xml:space="preserve"> </w:t>
      </w:r>
      <w:r w:rsidR="000D2996">
        <w:rPr>
          <w:lang w:val="ru-RU"/>
        </w:rPr>
        <w:t>Также</w:t>
      </w:r>
      <w:r w:rsidR="000D2996" w:rsidRPr="000D2996">
        <w:rPr>
          <w:lang w:val="ru-RU"/>
        </w:rPr>
        <w:t xml:space="preserve"> </w:t>
      </w:r>
      <w:r w:rsidR="000D2996">
        <w:rPr>
          <w:lang w:val="ru-RU"/>
        </w:rPr>
        <w:t>учитывая</w:t>
      </w:r>
      <w:r w:rsidR="000D2996" w:rsidRPr="000D2996">
        <w:rPr>
          <w:lang w:val="ru-RU"/>
        </w:rPr>
        <w:t xml:space="preserve"> </w:t>
      </w:r>
      <w:r w:rsidR="000D2996">
        <w:rPr>
          <w:lang w:val="ru-RU"/>
        </w:rPr>
        <w:t>информацию</w:t>
      </w:r>
      <w:r w:rsidR="002A37F4">
        <w:rPr>
          <w:lang w:val="ru-RU"/>
        </w:rPr>
        <w:t>, содержащуюся</w:t>
      </w:r>
      <w:r w:rsidR="000D2996" w:rsidRPr="000D2996">
        <w:rPr>
          <w:lang w:val="ru-RU"/>
        </w:rPr>
        <w:t xml:space="preserve"> </w:t>
      </w:r>
      <w:r w:rsidR="000D2996">
        <w:rPr>
          <w:lang w:val="ru-RU"/>
        </w:rPr>
        <w:t>в</w:t>
      </w:r>
      <w:r w:rsidR="000D2996" w:rsidRPr="000D2996">
        <w:rPr>
          <w:lang w:val="ru-RU"/>
        </w:rPr>
        <w:t xml:space="preserve"> </w:t>
      </w:r>
      <w:r w:rsidR="000D2996">
        <w:rPr>
          <w:lang w:val="ru-RU"/>
        </w:rPr>
        <w:t>документах</w:t>
      </w:r>
      <w:r w:rsidR="000D2996" w:rsidRPr="000D2996">
        <w:rPr>
          <w:lang w:val="ru-RU"/>
        </w:rPr>
        <w:t xml:space="preserve"> </w:t>
      </w:r>
      <w:r w:rsidRPr="009051BA">
        <w:t>CBD</w:t>
      </w:r>
      <w:r w:rsidRPr="000D2996">
        <w:rPr>
          <w:lang w:val="ru-RU"/>
        </w:rPr>
        <w:t>/</w:t>
      </w:r>
      <w:r w:rsidRPr="009051BA">
        <w:t>SBSTTA</w:t>
      </w:r>
      <w:r w:rsidRPr="000D2996">
        <w:rPr>
          <w:lang w:val="ru-RU"/>
        </w:rPr>
        <w:t>/24/</w:t>
      </w:r>
      <w:r w:rsidRPr="009051BA">
        <w:t>INF</w:t>
      </w:r>
      <w:r w:rsidRPr="000D2996">
        <w:rPr>
          <w:lang w:val="ru-RU"/>
        </w:rPr>
        <w:t xml:space="preserve">/41 </w:t>
      </w:r>
      <w:r w:rsidR="000D2996">
        <w:rPr>
          <w:lang w:val="ru-RU"/>
        </w:rPr>
        <w:t>и</w:t>
      </w:r>
      <w:r w:rsidRPr="000D2996">
        <w:rPr>
          <w:lang w:val="ru-RU"/>
        </w:rPr>
        <w:t xml:space="preserve"> </w:t>
      </w:r>
      <w:r w:rsidRPr="009051BA">
        <w:t>CBD</w:t>
      </w:r>
      <w:r w:rsidRPr="000D2996">
        <w:rPr>
          <w:lang w:val="ru-RU"/>
        </w:rPr>
        <w:t>/</w:t>
      </w:r>
      <w:r w:rsidRPr="009051BA">
        <w:t>EBSA</w:t>
      </w:r>
      <w:r w:rsidRPr="000D2996">
        <w:rPr>
          <w:lang w:val="ru-RU"/>
        </w:rPr>
        <w:t>/</w:t>
      </w:r>
      <w:r w:rsidRPr="009051BA">
        <w:t>OM</w:t>
      </w:r>
      <w:r w:rsidRPr="000D2996">
        <w:rPr>
          <w:lang w:val="ru-RU"/>
        </w:rPr>
        <w:t>/2022/2/1.</w:t>
      </w:r>
    </w:p>
  </w:footnote>
  <w:footnote w:id="6">
    <w:p w:rsidR="00843977" w:rsidRPr="00843977" w:rsidRDefault="00843977" w:rsidP="00843977">
      <w:pPr>
        <w:pStyle w:val="Notedebasdepage"/>
        <w:ind w:firstLine="0"/>
        <w:rPr>
          <w:lang w:val="ru-RU"/>
        </w:rPr>
      </w:pPr>
      <w:r>
        <w:rPr>
          <w:rStyle w:val="Appelnotedebasdep"/>
        </w:rPr>
        <w:footnoteRef/>
      </w:r>
      <w:r w:rsidRPr="00843977">
        <w:rPr>
          <w:lang w:val="ru-RU"/>
        </w:rPr>
        <w:t xml:space="preserve"> В настоящем решении под добровольным, предварительным и обоснованным согласием понимается терминология, включающая в себя три элемента: «предварительное обоснованное согласие» или «добровольное предварительное и обоснованное согласие» или «одобрение и участие»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rsidR="00A373EB" w:rsidRPr="00442EED" w:rsidRDefault="006A19EA" w:rsidP="00A373EB">
        <w:pPr>
          <w:pStyle w:val="Cornernotation"/>
          <w:ind w:right="-36"/>
          <w:rPr>
            <w:i/>
            <w:iCs/>
          </w:rPr>
        </w:pPr>
        <w:r>
          <w:rPr>
            <w:lang w:val="fr-FR"/>
          </w:rPr>
          <w:t>CBD/COP/DEC/15/26</w:t>
        </w:r>
      </w:p>
    </w:sdtContent>
  </w:sdt>
  <w:p w:rsidR="000E579F" w:rsidRPr="00DF1739" w:rsidRDefault="00693435" w:rsidP="00DF1739">
    <w:pPr>
      <w:pStyle w:val="En-tte"/>
      <w:spacing w:after="240"/>
      <w:rPr>
        <w:lang w:val="en-US"/>
      </w:rPr>
    </w:pPr>
    <w:r>
      <w:rPr>
        <w:lang w:val="ru-RU"/>
      </w:rPr>
      <w:t>Страница</w:t>
    </w:r>
    <w:r w:rsidR="00A373EB" w:rsidRPr="00C35549">
      <w:rPr>
        <w:lang w:val="en-US"/>
      </w:rPr>
      <w:t xml:space="preserve"> </w:t>
    </w:r>
    <w:r w:rsidR="00991475">
      <w:fldChar w:fldCharType="begin"/>
    </w:r>
    <w:r w:rsidR="00A373EB" w:rsidRPr="00C35549">
      <w:rPr>
        <w:lang w:val="en-US"/>
      </w:rPr>
      <w:instrText xml:space="preserve"> PAGE   \* MERGEFORMAT </w:instrText>
    </w:r>
    <w:r w:rsidR="00991475">
      <w:fldChar w:fldCharType="separate"/>
    </w:r>
    <w:r w:rsidR="00A0077D" w:rsidRPr="00A0077D">
      <w:rPr>
        <w:noProof/>
      </w:rPr>
      <w:t>2</w:t>
    </w:r>
    <w:r w:rsidR="00991475">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rsidR="009505C9" w:rsidRPr="00693435" w:rsidRDefault="006A19EA" w:rsidP="009505C9">
        <w:pPr>
          <w:pStyle w:val="En-tte"/>
          <w:jc w:val="right"/>
          <w:rPr>
            <w:lang w:val="ru-RU"/>
          </w:rPr>
        </w:pPr>
        <w:r>
          <w:rPr>
            <w:lang w:val="fr-FR"/>
          </w:rPr>
          <w:t>CBD/COP/DEC/15/26</w:t>
        </w:r>
      </w:p>
    </w:sdtContent>
  </w:sdt>
  <w:p w:rsidR="009505C9" w:rsidRPr="00693435" w:rsidRDefault="00693435" w:rsidP="009505C9">
    <w:pPr>
      <w:pStyle w:val="En-tte"/>
      <w:jc w:val="right"/>
      <w:rPr>
        <w:lang w:val="ru-RU"/>
      </w:rPr>
    </w:pPr>
    <w:r>
      <w:rPr>
        <w:lang w:val="ru-RU"/>
      </w:rPr>
      <w:t>Страница</w:t>
    </w:r>
    <w:r w:rsidR="009505C9" w:rsidRPr="00693435">
      <w:rPr>
        <w:lang w:val="ru-RU"/>
      </w:rPr>
      <w:t xml:space="preserve"> </w:t>
    </w:r>
    <w:r w:rsidR="00991475">
      <w:fldChar w:fldCharType="begin"/>
    </w:r>
    <w:r w:rsidR="009505C9" w:rsidRPr="00693435">
      <w:rPr>
        <w:lang w:val="ru-RU"/>
      </w:rPr>
      <w:instrText xml:space="preserve"> </w:instrText>
    </w:r>
    <w:r w:rsidR="009505C9" w:rsidRPr="00A373EB">
      <w:rPr>
        <w:lang w:val="en-US"/>
      </w:rPr>
      <w:instrText>PAGE</w:instrText>
    </w:r>
    <w:r w:rsidR="009505C9" w:rsidRPr="00693435">
      <w:rPr>
        <w:lang w:val="ru-RU"/>
      </w:rPr>
      <w:instrText xml:space="preserve">   \* </w:instrText>
    </w:r>
    <w:r w:rsidR="009505C9" w:rsidRPr="00A373EB">
      <w:rPr>
        <w:lang w:val="en-US"/>
      </w:rPr>
      <w:instrText>MERGEFORMAT</w:instrText>
    </w:r>
    <w:r w:rsidR="009505C9" w:rsidRPr="00693435">
      <w:rPr>
        <w:lang w:val="ru-RU"/>
      </w:rPr>
      <w:instrText xml:space="preserve"> </w:instrText>
    </w:r>
    <w:r w:rsidR="00991475">
      <w:fldChar w:fldCharType="separate"/>
    </w:r>
    <w:r w:rsidR="00A0077D" w:rsidRPr="00A0077D">
      <w:rPr>
        <w:noProof/>
        <w:lang w:val="ru-RU"/>
      </w:rPr>
      <w:t>3</w:t>
    </w:r>
    <w:r w:rsidR="00991475">
      <w:rPr>
        <w:noProof/>
      </w:rPr>
      <w:fldChar w:fldCharType="end"/>
    </w:r>
  </w:p>
  <w:p w:rsidR="000E579F" w:rsidRPr="00693435" w:rsidRDefault="000E579F">
    <w:pP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66F2360"/>
    <w:multiLevelType w:val="hybridMultilevel"/>
    <w:tmpl w:val="54A246A6"/>
    <w:lvl w:ilvl="0" w:tplc="1009000F">
      <w:start w:val="1"/>
      <w:numFmt w:val="decimal"/>
      <w:lvlText w:val="%1."/>
      <w:lvlJc w:val="left"/>
      <w:pPr>
        <w:ind w:left="720" w:hanging="360"/>
      </w:pPr>
      <w:rPr>
        <w:i w:val="0"/>
        <w:iCs w:val="0"/>
      </w:rPr>
    </w:lvl>
    <w:lvl w:ilvl="1" w:tplc="8AAE969E">
      <w:start w:val="1"/>
      <w:numFmt w:val="lowerLetter"/>
      <w:lvlText w:val="%2."/>
      <w:lvlJc w:val="left"/>
      <w:pPr>
        <w:ind w:left="1440" w:hanging="360"/>
      </w:pPr>
    </w:lvl>
    <w:lvl w:ilvl="2" w:tplc="AC7ED270">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28B73B09"/>
    <w:multiLevelType w:val="hybridMultilevel"/>
    <w:tmpl w:val="BF363646"/>
    <w:lvl w:ilvl="0" w:tplc="1B9214F6">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A4ED2"/>
    <w:multiLevelType w:val="hybridMultilevel"/>
    <w:tmpl w:val="283602A8"/>
    <w:lvl w:ilvl="0" w:tplc="1B9214F6">
      <w:start w:val="1"/>
      <w:numFmt w:val="lowerLetter"/>
      <w:lvlText w:val="(%1)"/>
      <w:lvlJc w:val="left"/>
      <w:pPr>
        <w:ind w:left="2700" w:hanging="360"/>
      </w:pPr>
      <w:rPr>
        <w:rFonts w:hint="default"/>
        <w:b w:val="0"/>
        <w:bCs w:val="0"/>
        <w:i w:val="0"/>
        <w:caps w:val="0"/>
        <w:strike w:val="0"/>
        <w:dstrike w:val="0"/>
        <w:vanish w:val="0"/>
        <w:color w:val="auto"/>
        <w:sz w:val="22"/>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43735513"/>
    <w:multiLevelType w:val="hybridMultilevel"/>
    <w:tmpl w:val="EC38E0C6"/>
    <w:lvl w:ilvl="0" w:tplc="040C0013">
      <w:start w:val="1"/>
      <w:numFmt w:val="upperRoman"/>
      <w:lvlText w:val="%1."/>
      <w:lvlJc w:val="right"/>
      <w:pPr>
        <w:ind w:left="1440" w:hanging="360"/>
      </w:pPr>
    </w:lvl>
    <w:lvl w:ilvl="1" w:tplc="83D61C7C">
      <w:start w:val="1"/>
      <w:numFmt w:val="lowerLetter"/>
      <w:lvlText w:val="(%2)"/>
      <w:lvlJc w:val="left"/>
      <w:pPr>
        <w:ind w:left="2160" w:hanging="360"/>
      </w:pPr>
    </w:lvl>
    <w:lvl w:ilvl="2" w:tplc="168AF986">
      <w:start w:val="1"/>
      <w:numFmt w:val="lowerRoman"/>
      <w:lvlText w:val="%3."/>
      <w:lvlJc w:val="right"/>
      <w:pPr>
        <w:ind w:left="2880" w:hanging="180"/>
      </w:pPr>
    </w:lvl>
    <w:lvl w:ilvl="3" w:tplc="19229624">
      <w:start w:val="1"/>
      <w:numFmt w:val="decimal"/>
      <w:lvlText w:val="%4."/>
      <w:lvlJc w:val="left"/>
      <w:pPr>
        <w:ind w:left="3600" w:hanging="360"/>
      </w:pPr>
    </w:lvl>
    <w:lvl w:ilvl="4" w:tplc="7090E500">
      <w:start w:val="1"/>
      <w:numFmt w:val="lowerLetter"/>
      <w:lvlText w:val="%5."/>
      <w:lvlJc w:val="left"/>
      <w:pPr>
        <w:ind w:left="4320" w:hanging="360"/>
      </w:pPr>
    </w:lvl>
    <w:lvl w:ilvl="5" w:tplc="E08007F2">
      <w:start w:val="1"/>
      <w:numFmt w:val="lowerRoman"/>
      <w:lvlText w:val="%6."/>
      <w:lvlJc w:val="right"/>
      <w:pPr>
        <w:ind w:left="5040" w:hanging="180"/>
      </w:pPr>
    </w:lvl>
    <w:lvl w:ilvl="6" w:tplc="16CAAA18">
      <w:start w:val="1"/>
      <w:numFmt w:val="decimal"/>
      <w:lvlText w:val="%7."/>
      <w:lvlJc w:val="left"/>
      <w:pPr>
        <w:ind w:left="5760" w:hanging="360"/>
      </w:pPr>
    </w:lvl>
    <w:lvl w:ilvl="7" w:tplc="D452FCD4">
      <w:start w:val="1"/>
      <w:numFmt w:val="lowerLetter"/>
      <w:lvlText w:val="%8."/>
      <w:lvlJc w:val="left"/>
      <w:pPr>
        <w:ind w:left="6480" w:hanging="360"/>
      </w:pPr>
    </w:lvl>
    <w:lvl w:ilvl="8" w:tplc="D71ABF2C">
      <w:start w:val="1"/>
      <w:numFmt w:val="lowerRoman"/>
      <w:lvlText w:val="%9."/>
      <w:lvlJc w:val="right"/>
      <w:pPr>
        <w:ind w:left="7200" w:hanging="180"/>
      </w:pPr>
    </w:lvl>
  </w:abstractNum>
  <w:abstractNum w:abstractNumId="8">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2">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425DFB"/>
    <w:multiLevelType w:val="hybridMultilevel"/>
    <w:tmpl w:val="D2105D5E"/>
    <w:lvl w:ilvl="0" w:tplc="B094CFD6">
      <w:start w:val="1"/>
      <w:numFmt w:val="lowerLetter"/>
      <w:lvlText w:val="(%1)"/>
      <w:lvlJc w:val="left"/>
      <w:pPr>
        <w:ind w:left="1407"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592180"/>
    <w:multiLevelType w:val="hybridMultilevel"/>
    <w:tmpl w:val="E17272CE"/>
    <w:lvl w:ilvl="0" w:tplc="FFFFFFFF">
      <w:start w:val="7"/>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E581A"/>
    <w:multiLevelType w:val="hybridMultilevel"/>
    <w:tmpl w:val="52DAFE16"/>
    <w:lvl w:ilvl="0" w:tplc="83ACD80C">
      <w:start w:val="7"/>
      <w:numFmt w:val="decimal"/>
      <w:lvlText w:val="%1."/>
      <w:lvlJc w:val="left"/>
      <w:pPr>
        <w:ind w:left="720" w:hanging="360"/>
      </w:pPr>
      <w:rPr>
        <w:i w:val="0"/>
        <w:iCs w:val="0"/>
      </w:rPr>
    </w:lvl>
    <w:lvl w:ilvl="1" w:tplc="C22CC308">
      <w:start w:val="1"/>
      <w:numFmt w:val="lowerLetter"/>
      <w:lvlText w:val="%2)"/>
      <w:lvlJc w:val="left"/>
      <w:pPr>
        <w:ind w:left="2520" w:hanging="1440"/>
      </w:pPr>
    </w:lvl>
    <w:lvl w:ilvl="2" w:tplc="91748206">
      <w:start w:val="2"/>
      <w:numFmt w:val="lowerLetter"/>
      <w:lvlText w:val="(%3)"/>
      <w:lvlJc w:val="left"/>
      <w:pPr>
        <w:ind w:left="2340" w:hanging="360"/>
      </w:pPr>
      <w:rPr>
        <w:b w:val="0"/>
        <w:bCs w:val="0"/>
      </w:rPr>
    </w:lvl>
    <w:lvl w:ilvl="3" w:tplc="BF5469A0">
      <w:start w:val="1"/>
      <w:numFmt w:val="decimal"/>
      <w:lvlText w:val="%4."/>
      <w:lvlJc w:val="left"/>
      <w:pPr>
        <w:ind w:left="2880" w:hanging="360"/>
      </w:pPr>
    </w:lvl>
    <w:lvl w:ilvl="4" w:tplc="9E187E58">
      <w:start w:val="1"/>
      <w:numFmt w:val="lowerLetter"/>
      <w:lvlText w:val="%5."/>
      <w:lvlJc w:val="left"/>
      <w:pPr>
        <w:ind w:left="3600" w:hanging="360"/>
      </w:pPr>
    </w:lvl>
    <w:lvl w:ilvl="5" w:tplc="63BA6E02">
      <w:start w:val="1"/>
      <w:numFmt w:val="lowerRoman"/>
      <w:lvlText w:val="%6."/>
      <w:lvlJc w:val="right"/>
      <w:pPr>
        <w:ind w:left="4320" w:hanging="180"/>
      </w:pPr>
    </w:lvl>
    <w:lvl w:ilvl="6" w:tplc="DD22F208">
      <w:start w:val="1"/>
      <w:numFmt w:val="decimal"/>
      <w:lvlText w:val="%7."/>
      <w:lvlJc w:val="left"/>
      <w:pPr>
        <w:ind w:left="5040" w:hanging="360"/>
      </w:pPr>
    </w:lvl>
    <w:lvl w:ilvl="7" w:tplc="AAF297B4">
      <w:start w:val="1"/>
      <w:numFmt w:val="lowerLetter"/>
      <w:lvlText w:val="%8."/>
      <w:lvlJc w:val="left"/>
      <w:pPr>
        <w:ind w:left="5760" w:hanging="360"/>
      </w:pPr>
    </w:lvl>
    <w:lvl w:ilvl="8" w:tplc="5700ECC4">
      <w:start w:val="1"/>
      <w:numFmt w:val="lowerRoman"/>
      <w:lvlText w:val="%9."/>
      <w:lvlJc w:val="right"/>
      <w:pPr>
        <w:ind w:left="6480" w:hanging="180"/>
      </w:pPr>
    </w:lvl>
  </w:abstractNum>
  <w:num w:numId="1">
    <w:abstractNumId w:val="6"/>
  </w:num>
  <w:num w:numId="2">
    <w:abstractNumId w:val="10"/>
  </w:num>
  <w:num w:numId="3">
    <w:abstractNumId w:val="8"/>
  </w:num>
  <w:num w:numId="4">
    <w:abstractNumId w:val="10"/>
  </w:num>
  <w:num w:numId="5">
    <w:abstractNumId w:val="9"/>
  </w:num>
  <w:num w:numId="6">
    <w:abstractNumId w:val="0"/>
  </w:num>
  <w:num w:numId="7">
    <w:abstractNumId w:val="2"/>
  </w:num>
  <w:num w:numId="8">
    <w:abstractNumId w:val="8"/>
    <w:lvlOverride w:ilvl="0">
      <w:startOverride w:val="1"/>
    </w:lvlOverride>
  </w:num>
  <w:num w:numId="9">
    <w:abstractNumId w:val="15"/>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3"/>
  </w:num>
  <w:num w:numId="15">
    <w:abstractNumId w:val="12"/>
  </w:num>
  <w:num w:numId="16">
    <w:abstractNumId w:val="1"/>
  </w:num>
  <w:num w:numId="17">
    <w:abstractNumId w:val="16"/>
  </w:num>
  <w:num w:numId="18">
    <w:abstractNumId w:val="1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4"/>
  </w:num>
  <w:num w:numId="25">
    <w:abstractNumId w:val="5"/>
  </w:num>
  <w:num w:numId="26">
    <w:abstractNumId w:val="10"/>
    <w:lvlOverride w:ilvl="0">
      <w:startOverride w:val="1"/>
    </w:lvlOverride>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2NDEzNzY2AbKMjC1MjZV0lIJTi4sz8/NACgxrASRr/9EsAAAA"/>
  </w:docVars>
  <w:rsids>
    <w:rsidRoot w:val="0054172D"/>
    <w:rsid w:val="00045B67"/>
    <w:rsid w:val="00046DAF"/>
    <w:rsid w:val="0006686E"/>
    <w:rsid w:val="0007171B"/>
    <w:rsid w:val="000B4C50"/>
    <w:rsid w:val="000D2996"/>
    <w:rsid w:val="000D4898"/>
    <w:rsid w:val="000E579F"/>
    <w:rsid w:val="000E673A"/>
    <w:rsid w:val="000F74F5"/>
    <w:rsid w:val="00102D4B"/>
    <w:rsid w:val="00105372"/>
    <w:rsid w:val="00105DEC"/>
    <w:rsid w:val="001210E3"/>
    <w:rsid w:val="001312AD"/>
    <w:rsid w:val="00131E7A"/>
    <w:rsid w:val="00134846"/>
    <w:rsid w:val="00172AF6"/>
    <w:rsid w:val="00175D87"/>
    <w:rsid w:val="00176CEE"/>
    <w:rsid w:val="001810B3"/>
    <w:rsid w:val="00186DD8"/>
    <w:rsid w:val="001B13FE"/>
    <w:rsid w:val="001B29FE"/>
    <w:rsid w:val="001C5C48"/>
    <w:rsid w:val="00210EFF"/>
    <w:rsid w:val="00215539"/>
    <w:rsid w:val="002416B8"/>
    <w:rsid w:val="00241FB8"/>
    <w:rsid w:val="00281B31"/>
    <w:rsid w:val="002838FE"/>
    <w:rsid w:val="00297256"/>
    <w:rsid w:val="002A37F4"/>
    <w:rsid w:val="002C78A6"/>
    <w:rsid w:val="0030169D"/>
    <w:rsid w:val="00302AAD"/>
    <w:rsid w:val="003035B3"/>
    <w:rsid w:val="003060EB"/>
    <w:rsid w:val="003153EB"/>
    <w:rsid w:val="00320FDA"/>
    <w:rsid w:val="00321985"/>
    <w:rsid w:val="00351205"/>
    <w:rsid w:val="00372F74"/>
    <w:rsid w:val="003A0EC0"/>
    <w:rsid w:val="003B131F"/>
    <w:rsid w:val="003D55EF"/>
    <w:rsid w:val="003E5B0D"/>
    <w:rsid w:val="003F7224"/>
    <w:rsid w:val="00427D21"/>
    <w:rsid w:val="00430E63"/>
    <w:rsid w:val="00442EED"/>
    <w:rsid w:val="00443E56"/>
    <w:rsid w:val="00455E94"/>
    <w:rsid w:val="004644C2"/>
    <w:rsid w:val="00467F9C"/>
    <w:rsid w:val="0048269C"/>
    <w:rsid w:val="004F2342"/>
    <w:rsid w:val="005056F9"/>
    <w:rsid w:val="005208AC"/>
    <w:rsid w:val="00534681"/>
    <w:rsid w:val="0054172D"/>
    <w:rsid w:val="00563442"/>
    <w:rsid w:val="00565B42"/>
    <w:rsid w:val="0057348F"/>
    <w:rsid w:val="0059391D"/>
    <w:rsid w:val="005A03AF"/>
    <w:rsid w:val="005A3A2A"/>
    <w:rsid w:val="005C235F"/>
    <w:rsid w:val="005C4CE6"/>
    <w:rsid w:val="006100AC"/>
    <w:rsid w:val="006122BA"/>
    <w:rsid w:val="00622C4E"/>
    <w:rsid w:val="00670691"/>
    <w:rsid w:val="00691E64"/>
    <w:rsid w:val="00693435"/>
    <w:rsid w:val="00697E73"/>
    <w:rsid w:val="006A19EA"/>
    <w:rsid w:val="006B2290"/>
    <w:rsid w:val="006C2A8C"/>
    <w:rsid w:val="006D39E0"/>
    <w:rsid w:val="007043D1"/>
    <w:rsid w:val="00717D88"/>
    <w:rsid w:val="00733A97"/>
    <w:rsid w:val="00737E12"/>
    <w:rsid w:val="00786056"/>
    <w:rsid w:val="00791623"/>
    <w:rsid w:val="007942D3"/>
    <w:rsid w:val="007B2099"/>
    <w:rsid w:val="007B6C09"/>
    <w:rsid w:val="007B7741"/>
    <w:rsid w:val="007E09DA"/>
    <w:rsid w:val="007F3DDD"/>
    <w:rsid w:val="008178B6"/>
    <w:rsid w:val="0082191A"/>
    <w:rsid w:val="00837FF0"/>
    <w:rsid w:val="00843977"/>
    <w:rsid w:val="00860E09"/>
    <w:rsid w:val="00865B74"/>
    <w:rsid w:val="008974F0"/>
    <w:rsid w:val="008B012A"/>
    <w:rsid w:val="008F01CD"/>
    <w:rsid w:val="008F788B"/>
    <w:rsid w:val="00906E17"/>
    <w:rsid w:val="00910951"/>
    <w:rsid w:val="00913A9D"/>
    <w:rsid w:val="00923C73"/>
    <w:rsid w:val="00925149"/>
    <w:rsid w:val="00930BA1"/>
    <w:rsid w:val="0093169E"/>
    <w:rsid w:val="00936237"/>
    <w:rsid w:val="009505C9"/>
    <w:rsid w:val="00950752"/>
    <w:rsid w:val="00966424"/>
    <w:rsid w:val="0097247C"/>
    <w:rsid w:val="00991475"/>
    <w:rsid w:val="009C2DE6"/>
    <w:rsid w:val="009D688A"/>
    <w:rsid w:val="009F0FBA"/>
    <w:rsid w:val="009F5079"/>
    <w:rsid w:val="00A0077D"/>
    <w:rsid w:val="00A373EB"/>
    <w:rsid w:val="00A56C4F"/>
    <w:rsid w:val="00AA5CA2"/>
    <w:rsid w:val="00AA6F92"/>
    <w:rsid w:val="00AB023C"/>
    <w:rsid w:val="00AB201F"/>
    <w:rsid w:val="00AB6934"/>
    <w:rsid w:val="00AD42C1"/>
    <w:rsid w:val="00AF42DE"/>
    <w:rsid w:val="00B03815"/>
    <w:rsid w:val="00B03E21"/>
    <w:rsid w:val="00B26F18"/>
    <w:rsid w:val="00B3369F"/>
    <w:rsid w:val="00B57441"/>
    <w:rsid w:val="00B613F0"/>
    <w:rsid w:val="00B642F3"/>
    <w:rsid w:val="00B94E6C"/>
    <w:rsid w:val="00B97CF9"/>
    <w:rsid w:val="00BB4606"/>
    <w:rsid w:val="00BC2E98"/>
    <w:rsid w:val="00BE3ADA"/>
    <w:rsid w:val="00BE5B7D"/>
    <w:rsid w:val="00C23D2F"/>
    <w:rsid w:val="00C443BD"/>
    <w:rsid w:val="00C451C5"/>
    <w:rsid w:val="00C819BE"/>
    <w:rsid w:val="00C9161D"/>
    <w:rsid w:val="00C9545D"/>
    <w:rsid w:val="00CA0C1D"/>
    <w:rsid w:val="00CB04A5"/>
    <w:rsid w:val="00CF1848"/>
    <w:rsid w:val="00D050D8"/>
    <w:rsid w:val="00D12044"/>
    <w:rsid w:val="00D204E5"/>
    <w:rsid w:val="00D33EFC"/>
    <w:rsid w:val="00D40DBC"/>
    <w:rsid w:val="00D42703"/>
    <w:rsid w:val="00D523FB"/>
    <w:rsid w:val="00D53AD7"/>
    <w:rsid w:val="00D54780"/>
    <w:rsid w:val="00D65445"/>
    <w:rsid w:val="00D74075"/>
    <w:rsid w:val="00D76A18"/>
    <w:rsid w:val="00D80849"/>
    <w:rsid w:val="00D82E8F"/>
    <w:rsid w:val="00D90C1B"/>
    <w:rsid w:val="00DA6F30"/>
    <w:rsid w:val="00DB0A74"/>
    <w:rsid w:val="00DC7B91"/>
    <w:rsid w:val="00DD118C"/>
    <w:rsid w:val="00DF1739"/>
    <w:rsid w:val="00E12DF7"/>
    <w:rsid w:val="00E66235"/>
    <w:rsid w:val="00E83C24"/>
    <w:rsid w:val="00E9318D"/>
    <w:rsid w:val="00EB5547"/>
    <w:rsid w:val="00EF5DAC"/>
    <w:rsid w:val="00F52BCF"/>
    <w:rsid w:val="00F53193"/>
    <w:rsid w:val="00F5357E"/>
    <w:rsid w:val="00F6586C"/>
    <w:rsid w:val="00F94774"/>
    <w:rsid w:val="00F9795B"/>
    <w:rsid w:val="00FA663B"/>
    <w:rsid w:val="00FB2E7D"/>
    <w:rsid w:val="00FC53DB"/>
    <w:rsid w:val="00FF26A5"/>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link w:val="HEADINGNOTFORTOCChar"/>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L Car"/>
    <w:basedOn w:val="Policepardfaut"/>
    <w:link w:val="Paragraphedeliste"/>
    <w:uiPriority w:val="34"/>
    <w:qFormat/>
    <w:locked/>
    <w:rsid w:val="0059391D"/>
    <w:rPr>
      <w:rFonts w:ascii="Times New Roman" w:eastAsia="Times New Roman" w:hAnsi="Times New Roman" w:cs="Times New Roman"/>
      <w:sz w:val="22"/>
      <w:lang w:val="en-GB"/>
    </w:rPr>
  </w:style>
  <w:style w:type="character" w:customStyle="1" w:styleId="HEADINGNOTFORTOCChar">
    <w:name w:val="HEADING (NOT FOR TOC) Char"/>
    <w:link w:val="HEADINGNOTFORTOC"/>
    <w:locked/>
    <w:rsid w:val="0059391D"/>
    <w:rPr>
      <w:rFonts w:ascii="Times New Roman" w:eastAsia="Times New Roman" w:hAnsi="Times New Roman" w:cs="Times New Roman"/>
      <w:b/>
      <w:caps/>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59391D"/>
    <w:pPr>
      <w:spacing w:before="120" w:after="160" w:line="240" w:lineRule="exac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B57441"/>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B57441"/>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7F3DDD"/>
  </w:style>
  <w:style w:type="character" w:customStyle="1" w:styleId="preferred">
    <w:name w:val="preferred"/>
    <w:basedOn w:val="Policepardfaut"/>
    <w:rsid w:val="007F3DDD"/>
  </w:style>
  <w:style w:type="character" w:styleId="lev">
    <w:name w:val="Strong"/>
    <w:basedOn w:val="Policepardfaut"/>
    <w:uiPriority w:val="22"/>
    <w:qFormat/>
    <w:rsid w:val="007043D1"/>
    <w:rPr>
      <w:b/>
      <w:bCs/>
    </w:rPr>
  </w:style>
</w:styles>
</file>

<file path=word/webSettings.xml><?xml version="1.0" encoding="utf-8"?>
<w:webSettings xmlns:r="http://schemas.openxmlformats.org/officeDocument/2006/relationships" xmlns:w="http://schemas.openxmlformats.org/wordprocessingml/2006/main">
  <w:divs>
    <w:div w:id="1263950944">
      <w:bodyDiv w:val="1"/>
      <w:marLeft w:val="0"/>
      <w:marRight w:val="0"/>
      <w:marTop w:val="0"/>
      <w:marBottom w:val="0"/>
      <w:divBdr>
        <w:top w:val="none" w:sz="0" w:space="0" w:color="auto"/>
        <w:left w:val="none" w:sz="0" w:space="0" w:color="auto"/>
        <w:bottom w:val="none" w:sz="0" w:space="0" w:color="auto"/>
        <w:right w:val="none" w:sz="0" w:space="0" w:color="auto"/>
      </w:divBdr>
    </w:div>
    <w:div w:id="1728602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uments-dds-ny.un.org/doc/UNDOC/GEN/N17/468/80/PDF/N1746880.pdf?OpenE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uments-dds-ny.un.org/doc/UNDOC/GEN/N21/386/42/PDF/N2138642.pdf?OpenEle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208EE6DFCD7645369478E7CA258F87BD"/>
        <w:category>
          <w:name w:val="Общие"/>
          <w:gallery w:val="placeholder"/>
        </w:category>
        <w:types>
          <w:type w:val="bbPlcHdr"/>
        </w:types>
        <w:behaviors>
          <w:behavior w:val="content"/>
        </w:behaviors>
        <w:guid w:val="{B4B3B583-A235-4F5F-BAF8-26CFB2B97547}"/>
      </w:docPartPr>
      <w:docPartBody>
        <w:p w:rsidR="00902373" w:rsidRDefault="00214D2C" w:rsidP="00214D2C">
          <w:pPr>
            <w:pStyle w:val="208EE6DFCD7645369478E7CA258F87BD"/>
          </w:pPr>
          <w:r w:rsidRPr="00C725B6">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B72FA"/>
    <w:rsid w:val="00067E0B"/>
    <w:rsid w:val="000F609C"/>
    <w:rsid w:val="00214D2C"/>
    <w:rsid w:val="002A1292"/>
    <w:rsid w:val="002A77DE"/>
    <w:rsid w:val="002C3EA3"/>
    <w:rsid w:val="003A3B1E"/>
    <w:rsid w:val="00446C34"/>
    <w:rsid w:val="004C6765"/>
    <w:rsid w:val="00520556"/>
    <w:rsid w:val="00654FA6"/>
    <w:rsid w:val="00687473"/>
    <w:rsid w:val="006D454E"/>
    <w:rsid w:val="0071451F"/>
    <w:rsid w:val="007C7D84"/>
    <w:rsid w:val="00800648"/>
    <w:rsid w:val="0082260B"/>
    <w:rsid w:val="00824607"/>
    <w:rsid w:val="00854BF9"/>
    <w:rsid w:val="00902373"/>
    <w:rsid w:val="009A09AB"/>
    <w:rsid w:val="00A90C0B"/>
    <w:rsid w:val="00AB72FA"/>
    <w:rsid w:val="00B25C35"/>
    <w:rsid w:val="00BE7A74"/>
    <w:rsid w:val="00C03777"/>
    <w:rsid w:val="00CB541B"/>
    <w:rsid w:val="00D36602"/>
    <w:rsid w:val="00EE35C8"/>
    <w:rsid w:val="00FD2ADF"/>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214D2C"/>
    <w:rPr>
      <w:color w:val="808080"/>
    </w:rPr>
  </w:style>
  <w:style w:type="paragraph" w:customStyle="1" w:styleId="E0A2A743B81A4B3C85C4D4F24EDEFC7E">
    <w:name w:val="E0A2A743B81A4B3C85C4D4F24EDEFC7E"/>
    <w:rsid w:val="007C7D84"/>
    <w:rPr>
      <w:lang w:val="en-US" w:eastAsia="zh-CN"/>
    </w:rPr>
  </w:style>
  <w:style w:type="paragraph" w:customStyle="1" w:styleId="4792AE11A51C45F7B737DF285D989514">
    <w:name w:val="4792AE11A51C45F7B737DF285D989514"/>
    <w:rsid w:val="0071451F"/>
    <w:rPr>
      <w:lang w:val="es-ES_tradnl" w:eastAsia="es-ES_tradnl"/>
    </w:rPr>
  </w:style>
  <w:style w:type="paragraph" w:customStyle="1" w:styleId="208EE6DFCD7645369478E7CA258F87BD">
    <w:name w:val="208EE6DFCD7645369478E7CA258F87BD"/>
    <w:rsid w:val="00214D2C"/>
    <w:rPr>
      <w:lang w:val="ru-RU" w:eastAsia="ru-RU"/>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B956CEB0-CD85-443E-86CC-DEAF9F67A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9AFFCEA3-7AB0-4646-AA9F-819D7824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39</TotalTime>
  <Pages>3</Pages>
  <Words>1321</Words>
  <Characters>7601</Characters>
  <Application>Microsoft Office Word</Application>
  <DocSecurity>0</DocSecurity>
  <Lines>506</Lines>
  <Paragraphs>254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ЭКОЛОГИЧЕСКИ ИЛИ БИОЛОГИЧЕСКИ ЗНАЧИМЫЕ МОРСКИЕ РАЙОНЫ: ДАЛЬНЕЙШАЯ РАБОТА</vt:lpstr>
      <vt:lpstr>Экологически или биологически значимые морские районы: дальнейшая работа</vt:lpstr>
      <vt:lpstr>Природа и культура</vt:lpstr>
    </vt:vector>
  </TitlesOfParts>
  <Company>SCBD</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 ИЛИ БИОЛОГИЧЕСКИ ЗНАЧИМЫЕ МОРСКИЕ РАЙОНЫ: ДАЛЬНЕЙШАЯ РАБОТА</dc:title>
  <dc:subject>CBD/COP/DEC/15/26</dc:subject>
  <dc:creator>Veronique Lefebvre</dc:creator>
  <cp:keywords>Conference of the Parties to the Convention on Biological Diversity, fifteenth meeting</cp:keywords>
  <cp:lastModifiedBy>Bureau</cp:lastModifiedBy>
  <cp:revision>7</cp:revision>
  <cp:lastPrinted>2020-01-21T16:56:00Z</cp:lastPrinted>
  <dcterms:created xsi:type="dcterms:W3CDTF">2023-03-28T19:57:00Z</dcterms:created>
  <dcterms:modified xsi:type="dcterms:W3CDTF">2023-03-30T12:09:00Z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