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304"/>
        <w:gridCol w:w="4961"/>
      </w:tblGrid>
      <w:tr w:rsidR="006D5609" w14:paraId="5D25235E" w14:textId="77777777" w:rsidTr="004D3F26">
        <w:trPr>
          <w:trHeight w:val="851"/>
        </w:trPr>
        <w:tc>
          <w:tcPr>
            <w:tcW w:w="976" w:type="dxa"/>
            <w:tcBorders>
              <w:bottom w:val="single" w:sz="12" w:space="0" w:color="auto"/>
            </w:tcBorders>
          </w:tcPr>
          <w:p w14:paraId="65DE7AE7" w14:textId="77777777" w:rsidR="006D5609" w:rsidRPr="00321985" w:rsidRDefault="006D5609" w:rsidP="005912E9">
            <w:r>
              <w:rPr>
                <w:noProof/>
                <w:lang w:val="en-US"/>
              </w:rPr>
              <w:drawing>
                <wp:inline distT="0" distB="0" distL="0" distR="0" wp14:anchorId="48648452" wp14:editId="53350E1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304" w:type="dxa"/>
            <w:tcBorders>
              <w:bottom w:val="single" w:sz="12" w:space="0" w:color="auto"/>
            </w:tcBorders>
            <w:shd w:val="clear" w:color="auto" w:fill="auto"/>
            <w:tcFitText/>
          </w:tcPr>
          <w:p w14:paraId="231DD12D" w14:textId="77777777" w:rsidR="006D5609" w:rsidRPr="00321985" w:rsidRDefault="006D5609" w:rsidP="005912E9">
            <w:r w:rsidRPr="00AA6F92">
              <w:rPr>
                <w:noProof/>
              </w:rPr>
              <w:drawing>
                <wp:inline distT="0" distB="0" distL="0" distR="0" wp14:anchorId="356B3D96" wp14:editId="6E266F2B">
                  <wp:extent cx="500870" cy="360000"/>
                  <wp:effectExtent l="0" t="0" r="0" b="254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961" w:type="dxa"/>
            <w:tcBorders>
              <w:bottom w:val="single" w:sz="12" w:space="0" w:color="auto"/>
            </w:tcBorders>
          </w:tcPr>
          <w:p w14:paraId="49EE7C58" w14:textId="77777777" w:rsidR="006D5609" w:rsidRPr="00C9161D" w:rsidRDefault="006D5609" w:rsidP="005912E9">
            <w:pPr>
              <w:jc w:val="right"/>
              <w:rPr>
                <w:rFonts w:ascii="Arial" w:hAnsi="Arial" w:cs="Arial"/>
                <w:b/>
                <w:sz w:val="32"/>
                <w:szCs w:val="32"/>
              </w:rPr>
            </w:pPr>
            <w:r w:rsidRPr="00C9161D">
              <w:rPr>
                <w:rFonts w:ascii="Arial" w:hAnsi="Arial" w:cs="Arial"/>
                <w:b/>
                <w:sz w:val="32"/>
                <w:szCs w:val="32"/>
              </w:rPr>
              <w:t>CBD</w:t>
            </w:r>
          </w:p>
        </w:tc>
      </w:tr>
      <w:tr w:rsidR="006D5609" w14:paraId="7DE201B1" w14:textId="77777777" w:rsidTr="004D3F26">
        <w:tc>
          <w:tcPr>
            <w:tcW w:w="5280" w:type="dxa"/>
            <w:gridSpan w:val="2"/>
            <w:tcBorders>
              <w:top w:val="single" w:sz="12" w:space="0" w:color="auto"/>
              <w:bottom w:val="single" w:sz="36" w:space="0" w:color="auto"/>
            </w:tcBorders>
            <w:vAlign w:val="center"/>
          </w:tcPr>
          <w:p w14:paraId="74CAC076" w14:textId="77777777" w:rsidR="006D5609" w:rsidRDefault="006D5609" w:rsidP="005912E9">
            <w:r>
              <w:rPr>
                <w:noProof/>
                <w:lang w:val="en-US"/>
              </w:rPr>
              <w:drawing>
                <wp:inline distT="0" distB="0" distL="0" distR="0" wp14:anchorId="5383AFFE" wp14:editId="7E03885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14:paraId="21465D9D" w14:textId="77777777" w:rsidR="006D5609" w:rsidRPr="00C9161D" w:rsidRDefault="006D5609" w:rsidP="004D3F26">
            <w:pPr>
              <w:ind w:left="1734"/>
              <w:rPr>
                <w:szCs w:val="22"/>
              </w:rPr>
            </w:pPr>
            <w:r w:rsidRPr="00C9161D">
              <w:rPr>
                <w:szCs w:val="22"/>
              </w:rPr>
              <w:t>Distr.</w:t>
            </w:r>
          </w:p>
          <w:p w14:paraId="2382157F" w14:textId="7E97B047" w:rsidR="006D5609" w:rsidRPr="00C9161D" w:rsidRDefault="00D96D80" w:rsidP="004D3F26">
            <w:pPr>
              <w:ind w:left="1734"/>
              <w:rPr>
                <w:szCs w:val="22"/>
              </w:rPr>
            </w:pPr>
            <w:r>
              <w:rPr>
                <w:caps/>
                <w:szCs w:val="22"/>
              </w:rPr>
              <w:t>GENERAL</w:t>
            </w:r>
          </w:p>
          <w:p w14:paraId="507F6B39" w14:textId="77777777" w:rsidR="006D5609" w:rsidRPr="00C9161D" w:rsidRDefault="006D5609" w:rsidP="004D3F26">
            <w:pPr>
              <w:ind w:left="1734"/>
              <w:rPr>
                <w:szCs w:val="22"/>
              </w:rPr>
            </w:pPr>
          </w:p>
          <w:p w14:paraId="43414B7D" w14:textId="1C528084" w:rsidR="006D5609" w:rsidRPr="00C9161D" w:rsidRDefault="00ED0DF3" w:rsidP="004D3F26">
            <w:pPr>
              <w:ind w:left="1734"/>
              <w:rPr>
                <w:szCs w:val="22"/>
              </w:rPr>
            </w:pPr>
            <w:sdt>
              <w:sdtPr>
                <w:rPr>
                  <w:lang w:val="en-US"/>
                </w:rPr>
                <w:alias w:val="Subject"/>
                <w:tag w:val=""/>
                <w:id w:val="2137136483"/>
                <w:placeholder>
                  <w:docPart w:val="B6C949987F154D9683AAC86F9FA9620C"/>
                </w:placeholder>
                <w:dataBinding w:prefixMappings="xmlns:ns0='http://purl.org/dc/elements/1.1/' xmlns:ns1='http://schemas.openxmlformats.org/package/2006/metadata/core-properties' " w:xpath="/ns1:coreProperties[1]/ns0:subject[1]" w:storeItemID="{6C3C8BC8-F283-45AE-878A-BAB7291924A1}"/>
                <w:text/>
              </w:sdtPr>
              <w:sdtEndPr/>
              <w:sdtContent>
                <w:r w:rsidR="005513D3">
                  <w:rPr>
                    <w:lang w:val="en-US"/>
                  </w:rPr>
                  <w:t>CBD/COP/DEC/15/26</w:t>
                </w:r>
              </w:sdtContent>
            </w:sdt>
          </w:p>
          <w:p w14:paraId="3AF9D5D3" w14:textId="24191103" w:rsidR="006D5609" w:rsidRPr="00C9161D" w:rsidRDefault="006D5609" w:rsidP="004D3F26">
            <w:pPr>
              <w:ind w:left="1734"/>
              <w:rPr>
                <w:szCs w:val="22"/>
              </w:rPr>
            </w:pPr>
            <w:r>
              <w:rPr>
                <w:szCs w:val="22"/>
                <w:lang w:val="en-US"/>
              </w:rPr>
              <w:t>1</w:t>
            </w:r>
            <w:r w:rsidR="00472034">
              <w:rPr>
                <w:szCs w:val="22"/>
                <w:lang w:val="en-US"/>
              </w:rPr>
              <w:t>9</w:t>
            </w:r>
            <w:r>
              <w:rPr>
                <w:szCs w:val="22"/>
                <w:lang w:val="en-US"/>
              </w:rPr>
              <w:t xml:space="preserve"> December 2022</w:t>
            </w:r>
          </w:p>
          <w:p w14:paraId="1D8CCA35" w14:textId="77777777" w:rsidR="006D5609" w:rsidRPr="00C9161D" w:rsidRDefault="006D5609" w:rsidP="004D3F26">
            <w:pPr>
              <w:ind w:left="1734"/>
              <w:rPr>
                <w:szCs w:val="22"/>
              </w:rPr>
            </w:pPr>
          </w:p>
          <w:p w14:paraId="3D3622D4" w14:textId="77777777" w:rsidR="006D5609" w:rsidRPr="00C9161D" w:rsidRDefault="006D5609" w:rsidP="004D3F26">
            <w:pPr>
              <w:ind w:left="1734"/>
              <w:rPr>
                <w:szCs w:val="22"/>
              </w:rPr>
            </w:pPr>
            <w:r>
              <w:rPr>
                <w:szCs w:val="22"/>
              </w:rPr>
              <w:t xml:space="preserve">ORIGINAL: </w:t>
            </w:r>
            <w:r w:rsidRPr="00C9161D">
              <w:rPr>
                <w:szCs w:val="22"/>
              </w:rPr>
              <w:t>ENGLISH</w:t>
            </w:r>
          </w:p>
          <w:p w14:paraId="60E2F51B" w14:textId="77777777" w:rsidR="006D5609" w:rsidRDefault="006D5609" w:rsidP="005912E9"/>
        </w:tc>
      </w:tr>
    </w:tbl>
    <w:p w14:paraId="660E6BB9" w14:textId="793D743F" w:rsidR="00BD6B50" w:rsidRPr="008D2DCA" w:rsidRDefault="00BD6B50" w:rsidP="00A03C00">
      <w:pPr>
        <w:pStyle w:val="Cornernotation"/>
        <w:kinsoku w:val="0"/>
        <w:overflowPunct w:val="0"/>
        <w:autoSpaceDE w:val="0"/>
        <w:autoSpaceDN w:val="0"/>
        <w:spacing w:before="60"/>
        <w:ind w:left="227" w:right="4075" w:hanging="227"/>
        <w:rPr>
          <w:snapToGrid w:val="0"/>
          <w:kern w:val="22"/>
        </w:rPr>
      </w:pPr>
      <w:r w:rsidRPr="008D2DCA">
        <w:rPr>
          <w:snapToGrid w:val="0"/>
          <w:kern w:val="22"/>
        </w:rPr>
        <w:t xml:space="preserve">CONFERENCE OF THE PARTIES TO THE CONVENTION ON BIOLOGICAL DIVERSITY </w:t>
      </w:r>
    </w:p>
    <w:p w14:paraId="52477CC3" w14:textId="26E6D3B5" w:rsidR="00BD6B50" w:rsidRPr="008D2DCA" w:rsidRDefault="00A03C00" w:rsidP="00A03C00">
      <w:pPr>
        <w:pStyle w:val="Cornernotation"/>
        <w:kinsoku w:val="0"/>
        <w:overflowPunct w:val="0"/>
        <w:autoSpaceDE w:val="0"/>
        <w:autoSpaceDN w:val="0"/>
        <w:ind w:left="0" w:right="4075" w:firstLine="0"/>
        <w:rPr>
          <w:snapToGrid w:val="0"/>
          <w:kern w:val="22"/>
        </w:rPr>
      </w:pPr>
      <w:r w:rsidRPr="008D2DCA">
        <w:rPr>
          <w:snapToGrid w:val="0"/>
          <w:kern w:val="22"/>
        </w:rPr>
        <w:t>Fifteenth</w:t>
      </w:r>
      <w:r w:rsidR="00BD6B50" w:rsidRPr="008D2DCA">
        <w:rPr>
          <w:snapToGrid w:val="0"/>
          <w:kern w:val="22"/>
        </w:rPr>
        <w:t xml:space="preserve"> meeting – Part II</w:t>
      </w:r>
    </w:p>
    <w:p w14:paraId="1B8A158A" w14:textId="77777777" w:rsidR="00BD6B50" w:rsidRPr="008D2DCA" w:rsidRDefault="00BD6B50" w:rsidP="00A03C00">
      <w:pPr>
        <w:pStyle w:val="Cornernotation"/>
        <w:kinsoku w:val="0"/>
        <w:overflowPunct w:val="0"/>
        <w:autoSpaceDE w:val="0"/>
        <w:autoSpaceDN w:val="0"/>
        <w:ind w:left="227" w:right="4075" w:hanging="227"/>
        <w:rPr>
          <w:snapToGrid w:val="0"/>
          <w:kern w:val="22"/>
          <w:szCs w:val="22"/>
          <w:lang w:eastAsia="nb-NO"/>
        </w:rPr>
      </w:pPr>
      <w:r w:rsidRPr="008D2DCA">
        <w:rPr>
          <w:snapToGrid w:val="0"/>
          <w:kern w:val="22"/>
          <w:szCs w:val="22"/>
          <w:lang w:eastAsia="nb-NO"/>
        </w:rPr>
        <w:t>Montreal, Canada, 7-19 December 2022</w:t>
      </w:r>
    </w:p>
    <w:p w14:paraId="1B691AAA" w14:textId="2BA4AE49" w:rsidR="00BD6B50" w:rsidRDefault="00BD6B50" w:rsidP="00A03C00">
      <w:pPr>
        <w:ind w:right="4075"/>
        <w:rPr>
          <w:snapToGrid w:val="0"/>
          <w:kern w:val="22"/>
          <w:szCs w:val="22"/>
        </w:rPr>
      </w:pPr>
      <w:r w:rsidRPr="008D2DCA">
        <w:rPr>
          <w:snapToGrid w:val="0"/>
          <w:kern w:val="22"/>
          <w:szCs w:val="22"/>
        </w:rPr>
        <w:t xml:space="preserve">Agenda item </w:t>
      </w:r>
      <w:r w:rsidR="00C676E1" w:rsidRPr="008D2DCA">
        <w:rPr>
          <w:snapToGrid w:val="0"/>
          <w:kern w:val="22"/>
          <w:szCs w:val="22"/>
        </w:rPr>
        <w:t>20</w:t>
      </w:r>
      <w:r w:rsidR="00980BF7">
        <w:rPr>
          <w:snapToGrid w:val="0"/>
          <w:kern w:val="22"/>
          <w:szCs w:val="22"/>
        </w:rPr>
        <w:t>A</w:t>
      </w:r>
      <w:r w:rsidRPr="008D2DCA">
        <w:rPr>
          <w:snapToGrid w:val="0"/>
          <w:kern w:val="22"/>
          <w:szCs w:val="22"/>
        </w:rPr>
        <w:t xml:space="preserve"> </w:t>
      </w:r>
    </w:p>
    <w:p w14:paraId="13EBF9FF" w14:textId="1FA7FF06" w:rsidR="00D96D80" w:rsidRPr="005A2734" w:rsidRDefault="00A36C50" w:rsidP="009A7D91">
      <w:pPr>
        <w:pStyle w:val="Heading1"/>
        <w:rPr>
          <w:szCs w:val="22"/>
        </w:rPr>
      </w:pPr>
      <w:r w:rsidRPr="009A7FD5">
        <w:t xml:space="preserve">Decision adopted by the Conference of the Parties to the </w:t>
      </w:r>
      <w:r w:rsidRPr="00741E13">
        <w:t>Convention on Biological Diversity</w:t>
      </w:r>
    </w:p>
    <w:p w14:paraId="03BC1CC7" w14:textId="6B5B4CC0" w:rsidR="00C9161D" w:rsidRPr="008D2DCA" w:rsidRDefault="00ED0DF3" w:rsidP="0075569F">
      <w:pPr>
        <w:spacing w:before="240" w:after="240"/>
        <w:jc w:val="center"/>
        <w:rPr>
          <w:b/>
          <w:caps/>
        </w:rPr>
      </w:pPr>
      <w:sdt>
        <w:sdtPr>
          <w:rPr>
            <w:rFonts w:ascii="Times New Roman Bold" w:hAnsi="Times New Roman Bold"/>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36C50">
            <w:rPr>
              <w:rFonts w:ascii="Times New Roman Bold" w:hAnsi="Times New Roman Bold"/>
              <w:kern w:val="22"/>
              <w:szCs w:val="22"/>
            </w:rPr>
            <w:t>15/</w:t>
          </w:r>
          <w:r w:rsidR="00720C54">
            <w:rPr>
              <w:rFonts w:ascii="Times New Roman Bold" w:hAnsi="Times New Roman Bold"/>
              <w:kern w:val="22"/>
              <w:szCs w:val="22"/>
            </w:rPr>
            <w:t>26.</w:t>
          </w:r>
          <w:r w:rsidR="00720C54">
            <w:rPr>
              <w:rFonts w:ascii="Times New Roman Bold" w:hAnsi="Times New Roman Bold"/>
              <w:kern w:val="22"/>
              <w:szCs w:val="22"/>
            </w:rPr>
            <w:tab/>
          </w:r>
          <w:r w:rsidR="00A36C50" w:rsidRPr="008D2DCA">
            <w:rPr>
              <w:rFonts w:ascii="Times New Roman Bold" w:hAnsi="Times New Roman Bold"/>
              <w:kern w:val="22"/>
              <w:szCs w:val="22"/>
            </w:rPr>
            <w:t>Ecologically or biologically significant marine areas: further work</w:t>
          </w:r>
        </w:sdtContent>
      </w:sdt>
      <w:r w:rsidR="00105372" w:rsidRPr="008D2DCA">
        <w:rPr>
          <w:b/>
          <w:caps/>
        </w:rPr>
        <w:t xml:space="preserve"> </w:t>
      </w:r>
    </w:p>
    <w:p w14:paraId="0E2FA3D1" w14:textId="77777777" w:rsidR="00C676E1" w:rsidRPr="008D2DCA" w:rsidRDefault="00C676E1" w:rsidP="0075569F">
      <w:pPr>
        <w:suppressLineNumbers/>
        <w:suppressAutoHyphens/>
        <w:kinsoku w:val="0"/>
        <w:overflowPunct w:val="0"/>
        <w:autoSpaceDE w:val="0"/>
        <w:autoSpaceDN w:val="0"/>
        <w:adjustRightInd w:val="0"/>
        <w:snapToGrid w:val="0"/>
        <w:spacing w:before="120" w:after="120"/>
        <w:ind w:firstLine="709"/>
        <w:rPr>
          <w:bCs/>
          <w:i/>
          <w:snapToGrid w:val="0"/>
          <w:kern w:val="22"/>
          <w:szCs w:val="22"/>
          <w:lang w:eastAsia="ko-KR"/>
        </w:rPr>
      </w:pPr>
      <w:r w:rsidRPr="008D2DCA">
        <w:rPr>
          <w:bCs/>
          <w:i/>
          <w:snapToGrid w:val="0"/>
          <w:kern w:val="22"/>
          <w:szCs w:val="22"/>
          <w:lang w:eastAsia="ko-KR"/>
        </w:rPr>
        <w:t>The Conference of the Parties</w:t>
      </w:r>
      <w:r w:rsidRPr="008D2DCA">
        <w:rPr>
          <w:bCs/>
          <w:iCs/>
          <w:snapToGrid w:val="0"/>
          <w:kern w:val="22"/>
          <w:szCs w:val="22"/>
          <w:lang w:eastAsia="ko-KR"/>
        </w:rPr>
        <w:t>,</w:t>
      </w:r>
    </w:p>
    <w:p w14:paraId="54AC53A1" w14:textId="57FC85EB" w:rsidR="00C676E1" w:rsidRPr="008D2DCA" w:rsidRDefault="00C676E1" w:rsidP="00C676E1">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D2DCA">
        <w:rPr>
          <w:i/>
          <w:iCs/>
          <w:snapToGrid w:val="0"/>
          <w:kern w:val="22"/>
          <w:szCs w:val="22"/>
        </w:rPr>
        <w:t>Reaffirming</w:t>
      </w:r>
      <w:r w:rsidRPr="008D2DCA">
        <w:rPr>
          <w:snapToGrid w:val="0"/>
          <w:kern w:val="22"/>
          <w:szCs w:val="22"/>
        </w:rPr>
        <w:t xml:space="preserve"> Articles 4 and 22 of the Convention</w:t>
      </w:r>
      <w:r w:rsidR="0034416B">
        <w:rPr>
          <w:snapToGrid w:val="0"/>
          <w:kern w:val="22"/>
          <w:szCs w:val="22"/>
        </w:rPr>
        <w:t>,</w:t>
      </w:r>
      <w:r w:rsidRPr="008D2DCA">
        <w:rPr>
          <w:snapToGrid w:val="0"/>
          <w:kern w:val="22"/>
          <w:szCs w:val="22"/>
        </w:rPr>
        <w:t xml:space="preserve"> as well as decisions X/29, XI/17, XII/22, XIII/12</w:t>
      </w:r>
      <w:r w:rsidR="0034416B">
        <w:rPr>
          <w:snapToGrid w:val="0"/>
          <w:kern w:val="22"/>
          <w:szCs w:val="22"/>
        </w:rPr>
        <w:t>,</w:t>
      </w:r>
      <w:r w:rsidRPr="008D2DCA">
        <w:rPr>
          <w:snapToGrid w:val="0"/>
          <w:kern w:val="22"/>
          <w:szCs w:val="22"/>
        </w:rPr>
        <w:t xml:space="preserve"> </w:t>
      </w:r>
      <w:r w:rsidRPr="00CA7C3A">
        <w:rPr>
          <w:snapToGrid w:val="0"/>
          <w:kern w:val="22"/>
          <w:szCs w:val="22"/>
        </w:rPr>
        <w:t>in particular paragraph 3</w:t>
      </w:r>
      <w:r w:rsidR="0034416B" w:rsidRPr="009A7D91">
        <w:rPr>
          <w:snapToGrid w:val="0"/>
          <w:kern w:val="22"/>
          <w:szCs w:val="22"/>
        </w:rPr>
        <w:t>,</w:t>
      </w:r>
      <w:r w:rsidRPr="00CA7C3A">
        <w:rPr>
          <w:snapToGrid w:val="0"/>
          <w:kern w:val="22"/>
          <w:szCs w:val="22"/>
        </w:rPr>
        <w:t xml:space="preserve"> and</w:t>
      </w:r>
      <w:r w:rsidRPr="008D2DCA">
        <w:rPr>
          <w:snapToGrid w:val="0"/>
          <w:kern w:val="22"/>
          <w:szCs w:val="22"/>
        </w:rPr>
        <w:t xml:space="preserve"> 14/9 of the Conference of the Parties,</w:t>
      </w:r>
    </w:p>
    <w:p w14:paraId="3C0E4FDC" w14:textId="68D8D10D" w:rsidR="00A23837" w:rsidRPr="008D2DCA" w:rsidRDefault="00C676E1" w:rsidP="00721DA6">
      <w:pPr>
        <w:suppressLineNumbers/>
        <w:suppressAutoHyphens/>
        <w:kinsoku w:val="0"/>
        <w:overflowPunct w:val="0"/>
        <w:autoSpaceDE w:val="0"/>
        <w:autoSpaceDN w:val="0"/>
        <w:adjustRightInd w:val="0"/>
        <w:snapToGrid w:val="0"/>
        <w:spacing w:before="120" w:after="120"/>
        <w:ind w:firstLine="720"/>
        <w:rPr>
          <w:szCs w:val="22"/>
        </w:rPr>
      </w:pPr>
      <w:r w:rsidRPr="008D2DCA">
        <w:rPr>
          <w:i/>
          <w:iCs/>
          <w:szCs w:val="22"/>
        </w:rPr>
        <w:t>Recalling</w:t>
      </w:r>
      <w:r w:rsidRPr="008D2DCA">
        <w:rPr>
          <w:szCs w:val="22"/>
        </w:rPr>
        <w:t xml:space="preserve"> United Nations General Assembly resolution </w:t>
      </w:r>
      <w:hyperlink r:id="rId15" w:history="1">
        <w:r w:rsidRPr="008D2DCA">
          <w:rPr>
            <w:rStyle w:val="Hyperlink"/>
            <w:sz w:val="22"/>
            <w:szCs w:val="22"/>
          </w:rPr>
          <w:t>76/72</w:t>
        </w:r>
      </w:hyperlink>
      <w:r w:rsidRPr="008D2DCA">
        <w:rPr>
          <w:szCs w:val="22"/>
        </w:rPr>
        <w:t xml:space="preserve"> on oceans and the law of the sea and its preambular paragraphs on the United Nations Convention on the Law of the Sea,</w:t>
      </w:r>
      <w:r w:rsidR="00BE7BAC">
        <w:rPr>
          <w:rStyle w:val="FootnoteReference"/>
          <w:szCs w:val="22"/>
        </w:rPr>
        <w:footnoteReference w:id="1"/>
      </w:r>
      <w:r w:rsidR="00BE7BAC">
        <w:rPr>
          <w:szCs w:val="22"/>
          <w:vertAlign w:val="superscript"/>
        </w:rPr>
        <w:t>,</w:t>
      </w:r>
      <w:r w:rsidR="004F446F" w:rsidDel="004F446F">
        <w:rPr>
          <w:rStyle w:val="FootnoteReference"/>
          <w:szCs w:val="22"/>
        </w:rPr>
        <w:t xml:space="preserve"> </w:t>
      </w:r>
      <w:r w:rsidR="00BE7BAC">
        <w:rPr>
          <w:rStyle w:val="FootnoteReference"/>
          <w:szCs w:val="22"/>
        </w:rPr>
        <w:footnoteReference w:id="2"/>
      </w:r>
      <w:r w:rsidR="00F577CB">
        <w:rPr>
          <w:szCs w:val="22"/>
          <w:vertAlign w:val="superscript"/>
        </w:rPr>
        <w:t xml:space="preserve">, </w:t>
      </w:r>
      <w:r w:rsidR="00F577CB">
        <w:rPr>
          <w:rStyle w:val="FootnoteReference"/>
          <w:szCs w:val="22"/>
        </w:rPr>
        <w:footnoteReference w:id="3"/>
      </w:r>
    </w:p>
    <w:p w14:paraId="16C53EDA" w14:textId="20C463D7" w:rsidR="00C676E1" w:rsidRPr="008D2DCA" w:rsidRDefault="00C676E1" w:rsidP="00C676E1">
      <w:pPr>
        <w:suppressLineNumbers/>
        <w:suppressAutoHyphens/>
        <w:kinsoku w:val="0"/>
        <w:overflowPunct w:val="0"/>
        <w:autoSpaceDE w:val="0"/>
        <w:autoSpaceDN w:val="0"/>
        <w:adjustRightInd w:val="0"/>
        <w:snapToGrid w:val="0"/>
        <w:spacing w:before="120" w:after="120"/>
        <w:ind w:firstLine="720"/>
        <w:rPr>
          <w:szCs w:val="22"/>
        </w:rPr>
      </w:pPr>
      <w:r w:rsidRPr="008D2DCA">
        <w:rPr>
          <w:i/>
          <w:iCs/>
          <w:szCs w:val="22"/>
        </w:rPr>
        <w:t>Reiterating</w:t>
      </w:r>
      <w:r w:rsidRPr="008D2DCA">
        <w:rPr>
          <w:szCs w:val="22"/>
        </w:rPr>
        <w:t xml:space="preserve"> the central role of the General Assembly of the United Nations in addressing issues relating to the conservation and sustainable use of biodiversity in marine areas beyond national jurisdiction,</w:t>
      </w:r>
      <w:r w:rsidR="00A23837">
        <w:rPr>
          <w:szCs w:val="22"/>
        </w:rPr>
        <w:t xml:space="preserve"> </w:t>
      </w:r>
    </w:p>
    <w:p w14:paraId="2809008C" w14:textId="6794D37A" w:rsidR="00C676E1" w:rsidRPr="008D2DCA" w:rsidRDefault="00C676E1" w:rsidP="00C676E1">
      <w:pPr>
        <w:suppressLineNumbers/>
        <w:suppressAutoHyphens/>
        <w:kinsoku w:val="0"/>
        <w:overflowPunct w:val="0"/>
        <w:autoSpaceDE w:val="0"/>
        <w:autoSpaceDN w:val="0"/>
        <w:adjustRightInd w:val="0"/>
        <w:snapToGrid w:val="0"/>
        <w:spacing w:before="120" w:after="120"/>
        <w:ind w:firstLine="720"/>
        <w:rPr>
          <w:szCs w:val="22"/>
        </w:rPr>
      </w:pPr>
      <w:r w:rsidRPr="008D2DCA">
        <w:rPr>
          <w:i/>
          <w:iCs/>
          <w:szCs w:val="22"/>
        </w:rPr>
        <w:t>Noting</w:t>
      </w:r>
      <w:r w:rsidRPr="008D2DCA">
        <w:rPr>
          <w:szCs w:val="22"/>
        </w:rPr>
        <w:t xml:space="preserve"> the negotiations underway in the </w:t>
      </w:r>
      <w:r w:rsidR="00822C4C" w:rsidRPr="008D2DCA">
        <w:rPr>
          <w:szCs w:val="22"/>
        </w:rPr>
        <w:t>i</w:t>
      </w:r>
      <w:r w:rsidRPr="008D2DCA">
        <w:rPr>
          <w:szCs w:val="22"/>
        </w:rPr>
        <w:t xml:space="preserve">ntergovernmental </w:t>
      </w:r>
      <w:r w:rsidR="00822C4C" w:rsidRPr="008D2DCA">
        <w:rPr>
          <w:szCs w:val="22"/>
        </w:rPr>
        <w:t>c</w:t>
      </w:r>
      <w:r w:rsidRPr="008D2DCA">
        <w:rPr>
          <w:szCs w:val="22"/>
        </w:rPr>
        <w:t xml:space="preserve">onference on an international legally binding instrument under the United Nations Convention on the Law of the Sea on the conservation and sustainable use of marine biological diversity of areas beyond national jurisdiction, following United Nations General Assembly resolution </w:t>
      </w:r>
      <w:hyperlink r:id="rId16" w:history="1">
        <w:r w:rsidRPr="008D2DCA">
          <w:rPr>
            <w:rStyle w:val="Hyperlink"/>
            <w:sz w:val="22"/>
            <w:szCs w:val="22"/>
          </w:rPr>
          <w:t>72/249</w:t>
        </w:r>
      </w:hyperlink>
      <w:r w:rsidRPr="008D2DCA">
        <w:rPr>
          <w:szCs w:val="22"/>
        </w:rPr>
        <w:t>,</w:t>
      </w:r>
      <w:r w:rsidR="00A23837">
        <w:rPr>
          <w:szCs w:val="22"/>
        </w:rPr>
        <w:t xml:space="preserve"> </w:t>
      </w:r>
    </w:p>
    <w:p w14:paraId="7C66BC0B" w14:textId="60D8D775" w:rsidR="00C676E1" w:rsidRPr="008D2DCA" w:rsidRDefault="003F4AAF" w:rsidP="00C676E1">
      <w:pPr>
        <w:suppressLineNumbers/>
        <w:suppressAutoHyphens/>
        <w:kinsoku w:val="0"/>
        <w:overflowPunct w:val="0"/>
        <w:autoSpaceDE w:val="0"/>
        <w:autoSpaceDN w:val="0"/>
        <w:adjustRightInd w:val="0"/>
        <w:snapToGrid w:val="0"/>
        <w:spacing w:before="120" w:after="120"/>
        <w:ind w:firstLine="720"/>
        <w:rPr>
          <w:szCs w:val="22"/>
          <w:lang w:val="en-US"/>
        </w:rPr>
      </w:pPr>
      <w:r>
        <w:rPr>
          <w:i/>
          <w:iCs/>
          <w:szCs w:val="22"/>
          <w:lang w:val="en-US"/>
        </w:rPr>
        <w:t>N</w:t>
      </w:r>
      <w:r w:rsidR="00C676E1" w:rsidRPr="008D2DCA">
        <w:rPr>
          <w:i/>
          <w:iCs/>
          <w:szCs w:val="22"/>
          <w:lang w:val="en-US"/>
        </w:rPr>
        <w:t>oting</w:t>
      </w:r>
      <w:r>
        <w:rPr>
          <w:i/>
          <w:iCs/>
          <w:szCs w:val="22"/>
          <w:lang w:val="en-US"/>
        </w:rPr>
        <w:t xml:space="preserve"> also</w:t>
      </w:r>
      <w:r w:rsidR="00C676E1" w:rsidRPr="008D2DCA">
        <w:rPr>
          <w:szCs w:val="22"/>
          <w:lang w:val="en-US"/>
        </w:rPr>
        <w:t xml:space="preserve"> the report of the </w:t>
      </w:r>
      <w:r w:rsidR="00C676E1" w:rsidRPr="008D2DCA">
        <w:rPr>
          <w:szCs w:val="22"/>
          <w:lang w:val="en-CA"/>
        </w:rPr>
        <w:t xml:space="preserve">Preparatory Committee established by General Assembly resolution 69/292 on the development of an international legally binding instrument under the United Nations Convention on the Law of the Sea on the conservation and sustainable use of marine biological diversity of areas beyond national jurisdiction </w:t>
      </w:r>
      <w:r w:rsidR="00C676E1" w:rsidRPr="008D2DCA">
        <w:rPr>
          <w:szCs w:val="22"/>
          <w:lang w:val="en-US"/>
        </w:rPr>
        <w:t xml:space="preserve">and the recommendations contained therein, which address, among other issues, area-based management tools, including marine protected areas, in marine areas beyond national jurisdiction, including standards and criteria for areas </w:t>
      </w:r>
      <w:r w:rsidR="00C676E1" w:rsidRPr="008D2DCA">
        <w:rPr>
          <w:szCs w:val="22"/>
        </w:rPr>
        <w:t xml:space="preserve">requiring protection through the establishment of </w:t>
      </w:r>
      <w:r w:rsidR="00C676E1" w:rsidRPr="008D2DCA">
        <w:rPr>
          <w:szCs w:val="22"/>
          <w:lang w:val="en-US"/>
        </w:rPr>
        <w:t>area-based management tools</w:t>
      </w:r>
      <w:r w:rsidR="00C676E1" w:rsidRPr="008D2DCA">
        <w:rPr>
          <w:szCs w:val="22"/>
        </w:rPr>
        <w:t xml:space="preserve">, as well as the </w:t>
      </w:r>
      <w:r w:rsidR="00C676E1" w:rsidRPr="008D2DCA">
        <w:rPr>
          <w:szCs w:val="22"/>
          <w:lang w:val="en-US"/>
        </w:rPr>
        <w:t xml:space="preserve">designation, implementation, and monitoring and review of area-based management tools, </w:t>
      </w:r>
    </w:p>
    <w:p w14:paraId="253B7C87" w14:textId="032C9951" w:rsidR="00A23837" w:rsidRPr="008D2DCA" w:rsidRDefault="00116A14" w:rsidP="00A23837">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en-US"/>
        </w:rPr>
      </w:pPr>
      <w:r>
        <w:rPr>
          <w:i/>
          <w:iCs/>
          <w:szCs w:val="22"/>
          <w:lang w:val="en-US"/>
        </w:rPr>
        <w:t>N</w:t>
      </w:r>
      <w:r w:rsidR="00C676E1" w:rsidRPr="008D2DCA">
        <w:rPr>
          <w:i/>
          <w:iCs/>
          <w:szCs w:val="22"/>
          <w:lang w:val="en-US"/>
        </w:rPr>
        <w:t>oting</w:t>
      </w:r>
      <w:r>
        <w:rPr>
          <w:i/>
          <w:iCs/>
          <w:szCs w:val="22"/>
          <w:lang w:val="en-US"/>
        </w:rPr>
        <w:t xml:space="preserve"> further</w:t>
      </w:r>
      <w:r w:rsidR="00C676E1" w:rsidRPr="008D2DCA">
        <w:rPr>
          <w:szCs w:val="22"/>
          <w:lang w:val="en-US"/>
        </w:rPr>
        <w:t xml:space="preserve"> the competence of the International Maritime Organization and the Food and Agriculture Organization of the United Nations with respect to shipping and fishing in marine areas beyond national jurisdiction, respectively, and the competence of the International Seabed Authority with respect to the exploration and exploitation of mineral resources in the international seabed Area,</w:t>
      </w:r>
    </w:p>
    <w:p w14:paraId="65A89E76" w14:textId="13474F93" w:rsidR="00C676E1" w:rsidRPr="008D2DCA" w:rsidRDefault="00693F3A" w:rsidP="00666D48">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en-US"/>
        </w:rPr>
      </w:pPr>
      <w:r w:rsidRPr="008D2DCA">
        <w:rPr>
          <w:i/>
          <w:iCs/>
          <w:szCs w:val="22"/>
          <w:lang w:val="en-US"/>
        </w:rPr>
        <w:t>N</w:t>
      </w:r>
      <w:r w:rsidR="00C676E1" w:rsidRPr="008D2DCA">
        <w:rPr>
          <w:i/>
          <w:iCs/>
          <w:szCs w:val="22"/>
          <w:lang w:val="en-US"/>
        </w:rPr>
        <w:t>ot</w:t>
      </w:r>
      <w:r w:rsidRPr="008D2DCA">
        <w:rPr>
          <w:i/>
          <w:iCs/>
          <w:szCs w:val="22"/>
          <w:lang w:val="en-US"/>
        </w:rPr>
        <w:t>ing</w:t>
      </w:r>
      <w:r w:rsidR="00C676E1" w:rsidRPr="008D2DCA">
        <w:rPr>
          <w:szCs w:val="22"/>
          <w:lang w:val="en-US"/>
        </w:rPr>
        <w:t xml:space="preserve"> that the description of ecologically or biologically significant marine areas</w:t>
      </w:r>
      <w:r w:rsidR="00182AC9" w:rsidRPr="008D2DCA">
        <w:rPr>
          <w:szCs w:val="22"/>
          <w:lang w:val="en-US"/>
        </w:rPr>
        <w:t xml:space="preserve"> </w:t>
      </w:r>
      <w:r w:rsidR="00C676E1" w:rsidRPr="008D2DCA">
        <w:rPr>
          <w:szCs w:val="22"/>
          <w:lang w:val="en-US"/>
        </w:rPr>
        <w:t xml:space="preserve">is an important scientific and technical process which may contribute to the implementation of the </w:t>
      </w:r>
      <w:r w:rsidR="003F0E3C">
        <w:rPr>
          <w:szCs w:val="22"/>
          <w:lang w:val="en-US"/>
        </w:rPr>
        <w:t>Kunming-Montreal</w:t>
      </w:r>
      <w:r w:rsidR="00C676E1" w:rsidRPr="008D2DCA">
        <w:rPr>
          <w:szCs w:val="22"/>
          <w:lang w:val="en-US"/>
        </w:rPr>
        <w:t xml:space="preserve"> </w:t>
      </w:r>
      <w:r w:rsidR="003F0E3C">
        <w:rPr>
          <w:szCs w:val="22"/>
          <w:lang w:val="en-US"/>
        </w:rPr>
        <w:t>G</w:t>
      </w:r>
      <w:r w:rsidR="00C676E1" w:rsidRPr="008D2DCA">
        <w:rPr>
          <w:szCs w:val="22"/>
          <w:lang w:val="en-US"/>
        </w:rPr>
        <w:t xml:space="preserve">lobal </w:t>
      </w:r>
      <w:r w:rsidR="003F0E3C">
        <w:rPr>
          <w:szCs w:val="22"/>
          <w:lang w:val="en-US"/>
        </w:rPr>
        <w:t>B</w:t>
      </w:r>
      <w:r w:rsidR="00C676E1" w:rsidRPr="008D2DCA">
        <w:rPr>
          <w:szCs w:val="22"/>
          <w:lang w:val="en-US"/>
        </w:rPr>
        <w:t xml:space="preserve">iodiversity </w:t>
      </w:r>
      <w:r w:rsidR="003F0E3C">
        <w:rPr>
          <w:szCs w:val="22"/>
          <w:lang w:val="en-US"/>
        </w:rPr>
        <w:t>F</w:t>
      </w:r>
      <w:r w:rsidR="00C676E1" w:rsidRPr="008D2DCA">
        <w:rPr>
          <w:szCs w:val="22"/>
          <w:lang w:val="en-US"/>
        </w:rPr>
        <w:t>ramework,</w:t>
      </w:r>
      <w:r w:rsidR="00A23837">
        <w:rPr>
          <w:szCs w:val="22"/>
          <w:lang w:val="en-US"/>
        </w:rPr>
        <w:t xml:space="preserve"> </w:t>
      </w:r>
    </w:p>
    <w:p w14:paraId="10D40843" w14:textId="631D83D6" w:rsidR="00C676E1" w:rsidRPr="008D2DCA" w:rsidRDefault="00C676E1" w:rsidP="00C676E1">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D2DCA">
        <w:rPr>
          <w:snapToGrid w:val="0"/>
          <w:kern w:val="22"/>
          <w:szCs w:val="22"/>
        </w:rPr>
        <w:t>1.</w:t>
      </w:r>
      <w:r w:rsidRPr="008D2DCA">
        <w:rPr>
          <w:snapToGrid w:val="0"/>
          <w:kern w:val="22"/>
          <w:szCs w:val="22"/>
        </w:rPr>
        <w:tab/>
      </w:r>
      <w:r w:rsidRPr="008D2DCA">
        <w:rPr>
          <w:i/>
          <w:iCs/>
          <w:snapToGrid w:val="0"/>
          <w:kern w:val="22"/>
          <w:szCs w:val="22"/>
        </w:rPr>
        <w:t>Expresses its appreciation</w:t>
      </w:r>
      <w:r w:rsidRPr="008D2DCA">
        <w:rPr>
          <w:snapToGrid w:val="0"/>
          <w:kern w:val="22"/>
          <w:szCs w:val="22"/>
        </w:rPr>
        <w:t xml:space="preserve"> to the Government</w:t>
      </w:r>
      <w:r w:rsidR="004E68FC" w:rsidRPr="008D2DCA">
        <w:rPr>
          <w:snapToGrid w:val="0"/>
          <w:kern w:val="22"/>
          <w:szCs w:val="22"/>
        </w:rPr>
        <w:t>s</w:t>
      </w:r>
      <w:r w:rsidRPr="008D2DCA">
        <w:rPr>
          <w:snapToGrid w:val="0"/>
          <w:kern w:val="22"/>
          <w:szCs w:val="22"/>
        </w:rPr>
        <w:t xml:space="preserve"> of Belgium and Germany for </w:t>
      </w:r>
      <w:r w:rsidR="00DA25F5" w:rsidRPr="008D2DCA">
        <w:rPr>
          <w:snapToGrid w:val="0"/>
          <w:kern w:val="22"/>
          <w:szCs w:val="22"/>
        </w:rPr>
        <w:t>their</w:t>
      </w:r>
      <w:r w:rsidRPr="008D2DCA">
        <w:rPr>
          <w:snapToGrid w:val="0"/>
          <w:kern w:val="22"/>
          <w:szCs w:val="22"/>
        </w:rPr>
        <w:t xml:space="preserve"> financial support for the organization of the Expert Workshop to Identify Options for Modifying the Description of Ecologically or Biologically Significant Marine Areas and Describing New Areas, and </w:t>
      </w:r>
      <w:r w:rsidRPr="009A7D91">
        <w:rPr>
          <w:snapToGrid w:val="0"/>
          <w:kern w:val="22"/>
          <w:szCs w:val="22"/>
        </w:rPr>
        <w:t>takes note</w:t>
      </w:r>
      <w:r w:rsidRPr="008D2DCA">
        <w:rPr>
          <w:snapToGrid w:val="0"/>
          <w:kern w:val="22"/>
          <w:szCs w:val="22"/>
        </w:rPr>
        <w:t xml:space="preserve"> of the report of the workshop;</w:t>
      </w:r>
      <w:r w:rsidRPr="008D2DCA">
        <w:rPr>
          <w:rStyle w:val="FootnoteReference"/>
          <w:rFonts w:eastAsiaTheme="majorEastAsia"/>
          <w:kern w:val="22"/>
          <w:szCs w:val="22"/>
        </w:rPr>
        <w:footnoteReference w:id="4"/>
      </w:r>
      <w:r w:rsidR="00A23837">
        <w:rPr>
          <w:snapToGrid w:val="0"/>
          <w:kern w:val="22"/>
          <w:szCs w:val="22"/>
        </w:rPr>
        <w:t xml:space="preserve"> </w:t>
      </w:r>
    </w:p>
    <w:p w14:paraId="314D9B54" w14:textId="02E5143E" w:rsidR="00C676E1" w:rsidRPr="008D2DCA" w:rsidRDefault="00C676E1" w:rsidP="00C676E1">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D2DCA">
        <w:rPr>
          <w:snapToGrid w:val="0"/>
          <w:kern w:val="22"/>
          <w:szCs w:val="22"/>
        </w:rPr>
        <w:t>2.</w:t>
      </w:r>
      <w:r w:rsidRPr="008D2DCA">
        <w:rPr>
          <w:snapToGrid w:val="0"/>
          <w:kern w:val="22"/>
          <w:szCs w:val="22"/>
        </w:rPr>
        <w:tab/>
      </w:r>
      <w:r w:rsidRPr="008D2DCA">
        <w:rPr>
          <w:i/>
          <w:iCs/>
          <w:snapToGrid w:val="0"/>
          <w:kern w:val="22"/>
          <w:szCs w:val="22"/>
        </w:rPr>
        <w:t>Welcomes</w:t>
      </w:r>
      <w:r w:rsidRPr="008D2DCA">
        <w:rPr>
          <w:snapToGrid w:val="0"/>
          <w:kern w:val="22"/>
          <w:szCs w:val="22"/>
        </w:rPr>
        <w:t xml:space="preserve"> the capacity</w:t>
      </w:r>
      <w:r w:rsidR="00F92862" w:rsidRPr="008D2DCA">
        <w:rPr>
          <w:snapToGrid w:val="0"/>
          <w:kern w:val="22"/>
          <w:szCs w:val="22"/>
        </w:rPr>
        <w:t>-</w:t>
      </w:r>
      <w:r w:rsidRPr="008D2DCA">
        <w:rPr>
          <w:snapToGrid w:val="0"/>
          <w:kern w:val="22"/>
          <w:szCs w:val="22"/>
        </w:rPr>
        <w:t xml:space="preserve">building activities facilitated by the Executive Secretary at the regional level in collaboration with Parties, other Governments and relevant organizations to facilitate efforts to describe </w:t>
      </w:r>
      <w:r w:rsidR="00DE2204" w:rsidRPr="008D2DCA">
        <w:rPr>
          <w:szCs w:val="22"/>
          <w:lang w:val="en-US"/>
        </w:rPr>
        <w:t>ecologically or biologically significant marine areas</w:t>
      </w:r>
      <w:r w:rsidRPr="008D2DCA">
        <w:rPr>
          <w:snapToGrid w:val="0"/>
          <w:kern w:val="22"/>
          <w:szCs w:val="22"/>
        </w:rPr>
        <w:t xml:space="preserve">, </w:t>
      </w:r>
      <w:r w:rsidRPr="009A7D91">
        <w:rPr>
          <w:snapToGrid w:val="0"/>
          <w:kern w:val="22"/>
          <w:szCs w:val="22"/>
        </w:rPr>
        <w:t>acknowledges</w:t>
      </w:r>
      <w:r w:rsidRPr="008D2DCA">
        <w:rPr>
          <w:snapToGrid w:val="0"/>
          <w:kern w:val="22"/>
          <w:szCs w:val="22"/>
        </w:rPr>
        <w:t xml:space="preserve"> that such activities may comprise an important element of an updated programme of work on marine </w:t>
      </w:r>
      <w:r w:rsidR="004E30B0" w:rsidRPr="008D2DCA">
        <w:rPr>
          <w:snapToGrid w:val="0"/>
          <w:kern w:val="22"/>
          <w:szCs w:val="22"/>
        </w:rPr>
        <w:t xml:space="preserve">and </w:t>
      </w:r>
      <w:r w:rsidRPr="008D2DCA">
        <w:rPr>
          <w:snapToGrid w:val="0"/>
          <w:kern w:val="22"/>
          <w:szCs w:val="22"/>
        </w:rPr>
        <w:t xml:space="preserve">coastal biodiversity, and </w:t>
      </w:r>
      <w:r w:rsidRPr="009A7D91">
        <w:rPr>
          <w:snapToGrid w:val="0"/>
          <w:kern w:val="22"/>
          <w:szCs w:val="22"/>
        </w:rPr>
        <w:t>requests</w:t>
      </w:r>
      <w:r w:rsidRPr="008D2DCA">
        <w:rPr>
          <w:snapToGrid w:val="0"/>
          <w:kern w:val="22"/>
          <w:szCs w:val="22"/>
        </w:rPr>
        <w:t xml:space="preserve"> the Executive Secretary to continue facilitating such capacity</w:t>
      </w:r>
      <w:r w:rsidR="00BA1021" w:rsidRPr="008D2DCA">
        <w:rPr>
          <w:snapToGrid w:val="0"/>
          <w:kern w:val="22"/>
          <w:szCs w:val="22"/>
        </w:rPr>
        <w:t>-</w:t>
      </w:r>
      <w:r w:rsidRPr="008D2DCA">
        <w:rPr>
          <w:snapToGrid w:val="0"/>
          <w:kern w:val="22"/>
          <w:szCs w:val="22"/>
        </w:rPr>
        <w:t xml:space="preserve">building activities in support of the implementation of the </w:t>
      </w:r>
      <w:r w:rsidR="00A31F76">
        <w:rPr>
          <w:snapToGrid w:val="0"/>
          <w:kern w:val="22"/>
          <w:szCs w:val="22"/>
        </w:rPr>
        <w:t>Kunming-Montreal</w:t>
      </w:r>
      <w:r w:rsidRPr="008D2DCA">
        <w:rPr>
          <w:snapToGrid w:val="0"/>
          <w:kern w:val="22"/>
          <w:szCs w:val="22"/>
        </w:rPr>
        <w:t xml:space="preserve"> </w:t>
      </w:r>
      <w:r w:rsidR="00A31F76">
        <w:rPr>
          <w:snapToGrid w:val="0"/>
          <w:kern w:val="22"/>
          <w:szCs w:val="22"/>
        </w:rPr>
        <w:t>G</w:t>
      </w:r>
      <w:r w:rsidRPr="008D2DCA">
        <w:rPr>
          <w:snapToGrid w:val="0"/>
          <w:kern w:val="22"/>
          <w:szCs w:val="22"/>
        </w:rPr>
        <w:t xml:space="preserve">lobal </w:t>
      </w:r>
      <w:r w:rsidR="00A31F76">
        <w:rPr>
          <w:snapToGrid w:val="0"/>
          <w:kern w:val="22"/>
          <w:szCs w:val="22"/>
        </w:rPr>
        <w:t>B</w:t>
      </w:r>
      <w:r w:rsidRPr="008D2DCA">
        <w:rPr>
          <w:snapToGrid w:val="0"/>
          <w:kern w:val="22"/>
          <w:szCs w:val="22"/>
        </w:rPr>
        <w:t xml:space="preserve">iodiversity </w:t>
      </w:r>
      <w:r w:rsidR="00A31F76">
        <w:rPr>
          <w:snapToGrid w:val="0"/>
          <w:kern w:val="22"/>
          <w:szCs w:val="22"/>
        </w:rPr>
        <w:t>F</w:t>
      </w:r>
      <w:r w:rsidRPr="008D2DCA">
        <w:rPr>
          <w:snapToGrid w:val="0"/>
          <w:kern w:val="22"/>
          <w:szCs w:val="22"/>
        </w:rPr>
        <w:t>ramework;</w:t>
      </w:r>
      <w:r w:rsidR="00A23837">
        <w:rPr>
          <w:snapToGrid w:val="0"/>
          <w:kern w:val="22"/>
          <w:szCs w:val="22"/>
        </w:rPr>
        <w:t xml:space="preserve"> </w:t>
      </w:r>
    </w:p>
    <w:p w14:paraId="094CA6B5" w14:textId="0F696DCA" w:rsidR="00C676E1" w:rsidRPr="008D2DCA" w:rsidRDefault="00C676E1" w:rsidP="00C676E1">
      <w:pPr>
        <w:suppressLineNumbers/>
        <w:suppressAutoHyphens/>
        <w:kinsoku w:val="0"/>
        <w:overflowPunct w:val="0"/>
        <w:autoSpaceDE w:val="0"/>
        <w:autoSpaceDN w:val="0"/>
        <w:adjustRightInd w:val="0"/>
        <w:snapToGrid w:val="0"/>
        <w:spacing w:before="120" w:after="120"/>
        <w:ind w:firstLine="720"/>
        <w:rPr>
          <w:kern w:val="22"/>
          <w:szCs w:val="22"/>
        </w:rPr>
      </w:pPr>
      <w:r w:rsidRPr="008D2DCA">
        <w:rPr>
          <w:iCs/>
          <w:snapToGrid w:val="0"/>
          <w:kern w:val="22"/>
          <w:szCs w:val="22"/>
        </w:rPr>
        <w:t>3.</w:t>
      </w:r>
      <w:r w:rsidRPr="008D2DCA">
        <w:rPr>
          <w:iCs/>
          <w:snapToGrid w:val="0"/>
          <w:kern w:val="22"/>
          <w:szCs w:val="22"/>
        </w:rPr>
        <w:tab/>
      </w:r>
      <w:r w:rsidRPr="008D2DCA">
        <w:rPr>
          <w:i/>
          <w:snapToGrid w:val="0"/>
          <w:kern w:val="22"/>
          <w:szCs w:val="22"/>
        </w:rPr>
        <w:t>Decides</w:t>
      </w:r>
      <w:r w:rsidRPr="008D2DCA">
        <w:rPr>
          <w:iCs/>
          <w:snapToGrid w:val="0"/>
          <w:kern w:val="22"/>
          <w:szCs w:val="22"/>
        </w:rPr>
        <w:t xml:space="preserve"> to extend the term of the</w:t>
      </w:r>
      <w:r w:rsidRPr="008D2DCA">
        <w:rPr>
          <w:kern w:val="22"/>
          <w:szCs w:val="22"/>
        </w:rPr>
        <w:t xml:space="preserve"> Informal Advisory Group on Ecologically or Biologically Significant Marine Areas;</w:t>
      </w:r>
      <w:r w:rsidR="00A23837">
        <w:rPr>
          <w:kern w:val="22"/>
          <w:szCs w:val="22"/>
        </w:rPr>
        <w:t xml:space="preserve"> </w:t>
      </w:r>
    </w:p>
    <w:p w14:paraId="0080BA77" w14:textId="294644B3" w:rsidR="00934B89" w:rsidRPr="008D2DCA" w:rsidRDefault="00C676E1" w:rsidP="007E6B15">
      <w:pPr>
        <w:suppressLineNumbers/>
        <w:suppressAutoHyphens/>
        <w:kinsoku w:val="0"/>
        <w:overflowPunct w:val="0"/>
        <w:autoSpaceDE w:val="0"/>
        <w:autoSpaceDN w:val="0"/>
        <w:adjustRightInd w:val="0"/>
        <w:snapToGrid w:val="0"/>
        <w:spacing w:before="120" w:after="120"/>
        <w:ind w:firstLine="720"/>
        <w:rPr>
          <w:lang w:val="en-US"/>
        </w:rPr>
      </w:pPr>
      <w:r w:rsidRPr="00980BF7">
        <w:rPr>
          <w:iCs/>
          <w:kern w:val="22"/>
          <w:szCs w:val="22"/>
        </w:rPr>
        <w:t>4.</w:t>
      </w:r>
      <w:r w:rsidRPr="00980BF7">
        <w:rPr>
          <w:iCs/>
          <w:kern w:val="22"/>
          <w:szCs w:val="22"/>
        </w:rPr>
        <w:tab/>
      </w:r>
      <w:r w:rsidRPr="00980BF7">
        <w:rPr>
          <w:i/>
          <w:snapToGrid w:val="0"/>
          <w:kern w:val="22"/>
          <w:szCs w:val="22"/>
          <w:lang w:val="en-US"/>
        </w:rPr>
        <w:t>Requests</w:t>
      </w:r>
      <w:r w:rsidRPr="00980BF7">
        <w:rPr>
          <w:iCs/>
          <w:snapToGrid w:val="0"/>
          <w:kern w:val="22"/>
          <w:szCs w:val="22"/>
          <w:lang w:val="en-US"/>
        </w:rPr>
        <w:t xml:space="preserve"> the Executive Secretary, subject to the availability of resources, to convene an expert workshop to review the technical aspects of the modalities outlined in the annex </w:t>
      </w:r>
      <w:r w:rsidR="00374104" w:rsidRPr="00980BF7">
        <w:rPr>
          <w:iCs/>
          <w:snapToGrid w:val="0"/>
          <w:kern w:val="22"/>
          <w:szCs w:val="22"/>
          <w:lang w:val="en-US"/>
        </w:rPr>
        <w:t>to</w:t>
      </w:r>
      <w:r w:rsidRPr="00980BF7">
        <w:rPr>
          <w:iCs/>
          <w:snapToGrid w:val="0"/>
          <w:kern w:val="22"/>
          <w:szCs w:val="22"/>
          <w:lang w:val="en-US"/>
        </w:rPr>
        <w:t xml:space="preserve"> recommendation </w:t>
      </w:r>
      <w:r w:rsidRPr="00980BF7">
        <w:rPr>
          <w:iCs/>
          <w:snapToGrid w:val="0"/>
          <w:kern w:val="22"/>
          <w:szCs w:val="22"/>
        </w:rPr>
        <w:t xml:space="preserve">24/10 of the </w:t>
      </w:r>
      <w:r w:rsidRPr="00980BF7">
        <w:rPr>
          <w:iCs/>
          <w:snapToGrid w:val="0"/>
          <w:kern w:val="22"/>
          <w:szCs w:val="22"/>
          <w:lang w:val="en-US"/>
        </w:rPr>
        <w:t>Subsidiary Body on Scientific, Technical and Technological Advice</w:t>
      </w:r>
      <w:r w:rsidR="00AA3D7A">
        <w:rPr>
          <w:iCs/>
          <w:snapToGrid w:val="0"/>
          <w:kern w:val="22"/>
          <w:szCs w:val="22"/>
          <w:lang w:val="en-US"/>
        </w:rPr>
        <w:t>,</w:t>
      </w:r>
      <w:bookmarkStart w:id="0" w:name="_Ref128564193"/>
      <w:r w:rsidR="00721DA6" w:rsidRPr="00980BF7">
        <w:rPr>
          <w:rStyle w:val="FootnoteReference"/>
          <w:iCs/>
          <w:snapToGrid w:val="0"/>
          <w:kern w:val="22"/>
          <w:szCs w:val="22"/>
          <w:lang w:val="en-US"/>
        </w:rPr>
        <w:footnoteReference w:id="5"/>
      </w:r>
      <w:bookmarkEnd w:id="0"/>
      <w:r w:rsidRPr="00980BF7">
        <w:rPr>
          <w:iCs/>
          <w:snapToGrid w:val="0"/>
          <w:kern w:val="22"/>
          <w:szCs w:val="22"/>
          <w:lang w:val="en-US"/>
        </w:rPr>
        <w:t xml:space="preserve"> and an expert workshop to review the legal issues pertaining to these modalities, on the basis of the outcomes of </w:t>
      </w:r>
      <w:r w:rsidR="000449AC">
        <w:rPr>
          <w:iCs/>
          <w:snapToGrid w:val="0"/>
          <w:kern w:val="22"/>
          <w:szCs w:val="22"/>
          <w:lang w:val="en-US"/>
        </w:rPr>
        <w:t xml:space="preserve">the </w:t>
      </w:r>
      <w:r w:rsidRPr="00980BF7">
        <w:rPr>
          <w:iCs/>
          <w:snapToGrid w:val="0"/>
          <w:kern w:val="22"/>
          <w:szCs w:val="22"/>
          <w:lang w:val="en-US"/>
        </w:rPr>
        <w:t xml:space="preserve">above-noted workshop, </w:t>
      </w:r>
      <w:r w:rsidRPr="00980BF7">
        <w:rPr>
          <w:lang w:val="en-US"/>
        </w:rPr>
        <w:t xml:space="preserve">to provide the outcomes of this work for discussion through virtual </w:t>
      </w:r>
      <w:r w:rsidRPr="0064292F">
        <w:rPr>
          <w:lang w:val="en-US"/>
        </w:rPr>
        <w:t xml:space="preserve">modalities, </w:t>
      </w:r>
      <w:r w:rsidRPr="00B77B32">
        <w:rPr>
          <w:lang w:val="en-US"/>
        </w:rPr>
        <w:t>such as global and/or regional webinars, open comment by Parties and other Governments, and discussion by the Informal Advisory Group</w:t>
      </w:r>
      <w:r w:rsidR="00B77B32" w:rsidRPr="00B77B32">
        <w:rPr>
          <w:lang w:val="en-US"/>
        </w:rPr>
        <w:t xml:space="preserve"> </w:t>
      </w:r>
      <w:r w:rsidR="00B77B32" w:rsidRPr="00B77B32">
        <w:rPr>
          <w:kern w:val="22"/>
          <w:szCs w:val="22"/>
        </w:rPr>
        <w:t>on Ecologically or Biologically Significant Marine Areas</w:t>
      </w:r>
      <w:r w:rsidRPr="00B77B32">
        <w:rPr>
          <w:lang w:val="en-US"/>
        </w:rPr>
        <w:t>, and to provide the outcomes</w:t>
      </w:r>
      <w:r w:rsidRPr="0064292F">
        <w:rPr>
          <w:lang w:val="en-US"/>
        </w:rPr>
        <w:t xml:space="preserve"> of this work </w:t>
      </w:r>
      <w:r w:rsidRPr="0064292F">
        <w:t xml:space="preserve">to a future meeting of the </w:t>
      </w:r>
      <w:r w:rsidRPr="0064292F">
        <w:rPr>
          <w:iCs/>
          <w:snapToGrid w:val="0"/>
          <w:kern w:val="22"/>
          <w:szCs w:val="22"/>
          <w:lang w:val="en-US"/>
        </w:rPr>
        <w:t>Subsidiary Body on Scientific, Technical and Technological Advice</w:t>
      </w:r>
      <w:r w:rsidRPr="0064292F">
        <w:t xml:space="preserve"> and/or </w:t>
      </w:r>
      <w:r w:rsidR="005A3FB4" w:rsidRPr="0064292F">
        <w:t xml:space="preserve">of </w:t>
      </w:r>
      <w:r w:rsidRPr="0064292F">
        <w:t>the Subsidiary Body on Implementation</w:t>
      </w:r>
      <w:r w:rsidR="005A3FB4" w:rsidRPr="00980BF7">
        <w:t>,</w:t>
      </w:r>
      <w:r w:rsidRPr="00980BF7">
        <w:t xml:space="preserve"> for consideration prior to the </w:t>
      </w:r>
      <w:r w:rsidR="005A3FB4" w:rsidRPr="00980BF7">
        <w:t>sixteenth</w:t>
      </w:r>
      <w:r w:rsidRPr="00980BF7">
        <w:t xml:space="preserve"> meeting of the Conference of the Parties, </w:t>
      </w:r>
      <w:r w:rsidRPr="00980BF7">
        <w:rPr>
          <w:lang w:val="en-US"/>
        </w:rPr>
        <w:t xml:space="preserve">with a view to adopting </w:t>
      </w:r>
      <w:r w:rsidRPr="00980BF7">
        <w:rPr>
          <w:iCs/>
          <w:snapToGrid w:val="0"/>
          <w:kern w:val="22"/>
          <w:szCs w:val="22"/>
        </w:rPr>
        <w:t xml:space="preserve">modalities for modifying </w:t>
      </w:r>
      <w:r w:rsidR="005A2734">
        <w:rPr>
          <w:iCs/>
          <w:snapToGrid w:val="0"/>
          <w:kern w:val="22"/>
          <w:szCs w:val="22"/>
        </w:rPr>
        <w:t xml:space="preserve">the </w:t>
      </w:r>
      <w:r w:rsidRPr="00980BF7">
        <w:rPr>
          <w:iCs/>
          <w:snapToGrid w:val="0"/>
          <w:kern w:val="22"/>
          <w:szCs w:val="22"/>
        </w:rPr>
        <w:t>descriptions of ecologically or biologically significant marine areas and for describing new areas</w:t>
      </w:r>
      <w:r w:rsidRPr="00980BF7">
        <w:rPr>
          <w:lang w:val="en-US"/>
        </w:rPr>
        <w:t xml:space="preserve"> at the </w:t>
      </w:r>
      <w:r w:rsidR="005E41C9" w:rsidRPr="00980BF7">
        <w:rPr>
          <w:lang w:val="en-US"/>
        </w:rPr>
        <w:t>sixteenth</w:t>
      </w:r>
      <w:r w:rsidRPr="00980BF7">
        <w:rPr>
          <w:lang w:val="en-US"/>
        </w:rPr>
        <w:t xml:space="preserve"> meeting of the </w:t>
      </w:r>
      <w:r w:rsidRPr="00980BF7">
        <w:t>Conference of the Parties</w:t>
      </w:r>
      <w:r w:rsidRPr="00980BF7">
        <w:rPr>
          <w:lang w:val="en-US"/>
        </w:rPr>
        <w:t>;</w:t>
      </w:r>
    </w:p>
    <w:p w14:paraId="35255C98" w14:textId="2AC4A5E3" w:rsidR="00C676E1" w:rsidRPr="008D2DCA" w:rsidRDefault="007E6B15" w:rsidP="00C676E1">
      <w:pPr>
        <w:suppressLineNumbers/>
        <w:suppressAutoHyphens/>
        <w:kinsoku w:val="0"/>
        <w:overflowPunct w:val="0"/>
        <w:autoSpaceDE w:val="0"/>
        <w:autoSpaceDN w:val="0"/>
        <w:adjustRightInd w:val="0"/>
        <w:snapToGrid w:val="0"/>
        <w:spacing w:before="120" w:after="120"/>
        <w:ind w:firstLine="720"/>
        <w:rPr>
          <w:kern w:val="22"/>
          <w:szCs w:val="22"/>
        </w:rPr>
      </w:pPr>
      <w:r>
        <w:rPr>
          <w:kern w:val="22"/>
          <w:szCs w:val="22"/>
        </w:rPr>
        <w:t>5</w:t>
      </w:r>
      <w:r w:rsidR="00C676E1" w:rsidRPr="00E510D7">
        <w:rPr>
          <w:kern w:val="22"/>
          <w:szCs w:val="22"/>
        </w:rPr>
        <w:t>.</w:t>
      </w:r>
      <w:r w:rsidR="00C676E1" w:rsidRPr="00E510D7">
        <w:rPr>
          <w:kern w:val="22"/>
          <w:szCs w:val="22"/>
        </w:rPr>
        <w:tab/>
      </w:r>
      <w:r w:rsidR="00C44948">
        <w:rPr>
          <w:i/>
          <w:iCs/>
          <w:kern w:val="22"/>
          <w:szCs w:val="22"/>
        </w:rPr>
        <w:t>Also r</w:t>
      </w:r>
      <w:r w:rsidR="00C676E1" w:rsidRPr="00E510D7">
        <w:rPr>
          <w:i/>
          <w:iCs/>
          <w:kern w:val="22"/>
          <w:szCs w:val="22"/>
        </w:rPr>
        <w:t>equests</w:t>
      </w:r>
      <w:r w:rsidR="00C676E1" w:rsidRPr="00E510D7">
        <w:rPr>
          <w:kern w:val="22"/>
          <w:szCs w:val="22"/>
        </w:rPr>
        <w:t xml:space="preserve"> the Executive Secretary to develop draft terms of reference for a “relevant expert advisory body” in the context of modalities for modifying the descriptions of ecologically or biologically significant marine areas and </w:t>
      </w:r>
      <w:r w:rsidR="00C676E1" w:rsidRPr="00053CC0">
        <w:rPr>
          <w:kern w:val="22"/>
          <w:szCs w:val="22"/>
        </w:rPr>
        <w:t>describing new</w:t>
      </w:r>
      <w:r w:rsidR="00C676E1" w:rsidRPr="00E510D7">
        <w:rPr>
          <w:kern w:val="22"/>
          <w:szCs w:val="22"/>
        </w:rPr>
        <w:t xml:space="preserve"> </w:t>
      </w:r>
      <w:r w:rsidR="00C676E1" w:rsidRPr="00833D39">
        <w:rPr>
          <w:kern w:val="22"/>
          <w:szCs w:val="22"/>
        </w:rPr>
        <w:t xml:space="preserve">areas, </w:t>
      </w:r>
      <w:r w:rsidR="00E510D7" w:rsidRPr="0091618E">
        <w:rPr>
          <w:iCs/>
          <w:snapToGrid w:val="0"/>
          <w:kern w:val="22"/>
          <w:szCs w:val="22"/>
          <w:lang w:val="en-US"/>
        </w:rPr>
        <w:t>annex</w:t>
      </w:r>
      <w:r w:rsidR="008E6273" w:rsidRPr="0091618E">
        <w:rPr>
          <w:iCs/>
          <w:snapToGrid w:val="0"/>
          <w:kern w:val="22"/>
          <w:szCs w:val="22"/>
          <w:lang w:val="en-US"/>
        </w:rPr>
        <w:t>ed</w:t>
      </w:r>
      <w:r w:rsidR="00E510D7" w:rsidRPr="0091618E">
        <w:rPr>
          <w:iCs/>
          <w:snapToGrid w:val="0"/>
          <w:kern w:val="22"/>
          <w:szCs w:val="22"/>
          <w:lang w:val="en-US"/>
        </w:rPr>
        <w:t xml:space="preserve"> to recommendation </w:t>
      </w:r>
      <w:r w:rsidR="00E510D7" w:rsidRPr="0091618E">
        <w:rPr>
          <w:iCs/>
          <w:snapToGrid w:val="0"/>
          <w:kern w:val="22"/>
          <w:szCs w:val="22"/>
        </w:rPr>
        <w:t>24/10</w:t>
      </w:r>
      <w:r w:rsidR="00E510D7" w:rsidRPr="00E510D7">
        <w:rPr>
          <w:iCs/>
          <w:snapToGrid w:val="0"/>
          <w:kern w:val="22"/>
          <w:szCs w:val="22"/>
        </w:rPr>
        <w:t xml:space="preserve"> of the </w:t>
      </w:r>
      <w:r w:rsidR="00E510D7" w:rsidRPr="00E510D7">
        <w:rPr>
          <w:iCs/>
          <w:snapToGrid w:val="0"/>
          <w:kern w:val="22"/>
          <w:szCs w:val="22"/>
          <w:lang w:val="en-US"/>
        </w:rPr>
        <w:t>Subsidiary Body on Scientific, Technical and Technological Advice</w:t>
      </w:r>
      <w:r w:rsidR="00035904">
        <w:rPr>
          <w:iCs/>
          <w:snapToGrid w:val="0"/>
          <w:kern w:val="22"/>
          <w:szCs w:val="22"/>
          <w:lang w:val="en-US"/>
        </w:rPr>
        <w:t>,</w:t>
      </w:r>
      <w:r w:rsidR="00CC395C" w:rsidRPr="009A7D91">
        <w:rPr>
          <w:iCs/>
          <w:snapToGrid w:val="0"/>
          <w:kern w:val="22"/>
          <w:szCs w:val="22"/>
          <w:vertAlign w:val="superscript"/>
          <w:lang w:val="en-US"/>
        </w:rPr>
        <w:fldChar w:fldCharType="begin"/>
      </w:r>
      <w:r w:rsidR="00CC395C" w:rsidRPr="009A7D91">
        <w:rPr>
          <w:iCs/>
          <w:snapToGrid w:val="0"/>
          <w:kern w:val="22"/>
          <w:szCs w:val="22"/>
          <w:vertAlign w:val="superscript"/>
          <w:lang w:val="en-US"/>
        </w:rPr>
        <w:instrText xml:space="preserve"> NOTEREF _Ref128564193 \h </w:instrText>
      </w:r>
      <w:r w:rsidR="00CC395C">
        <w:rPr>
          <w:iCs/>
          <w:snapToGrid w:val="0"/>
          <w:kern w:val="22"/>
          <w:szCs w:val="22"/>
          <w:vertAlign w:val="superscript"/>
          <w:lang w:val="en-US"/>
        </w:rPr>
        <w:instrText xml:space="preserve"> \* MERGEFORMAT </w:instrText>
      </w:r>
      <w:r w:rsidR="00CC395C" w:rsidRPr="005A2734">
        <w:rPr>
          <w:iCs/>
          <w:snapToGrid w:val="0"/>
          <w:kern w:val="22"/>
          <w:szCs w:val="22"/>
          <w:vertAlign w:val="superscript"/>
          <w:lang w:val="en-US"/>
        </w:rPr>
      </w:r>
      <w:r w:rsidR="00CC395C" w:rsidRPr="009A7D91">
        <w:rPr>
          <w:iCs/>
          <w:snapToGrid w:val="0"/>
          <w:kern w:val="22"/>
          <w:szCs w:val="22"/>
          <w:vertAlign w:val="superscript"/>
          <w:lang w:val="en-US"/>
        </w:rPr>
        <w:fldChar w:fldCharType="separate"/>
      </w:r>
      <w:r w:rsidR="00CC395C" w:rsidRPr="009A7D91">
        <w:rPr>
          <w:iCs/>
          <w:snapToGrid w:val="0"/>
          <w:kern w:val="22"/>
          <w:szCs w:val="22"/>
          <w:vertAlign w:val="superscript"/>
          <w:lang w:val="en-US"/>
        </w:rPr>
        <w:t>5</w:t>
      </w:r>
      <w:r w:rsidR="00CC395C" w:rsidRPr="009A7D91">
        <w:rPr>
          <w:iCs/>
          <w:snapToGrid w:val="0"/>
          <w:kern w:val="22"/>
          <w:szCs w:val="22"/>
          <w:vertAlign w:val="superscript"/>
          <w:lang w:val="en-US"/>
        </w:rPr>
        <w:fldChar w:fldCharType="end"/>
      </w:r>
      <w:r w:rsidR="00C676E1" w:rsidRPr="00E510D7">
        <w:rPr>
          <w:kern w:val="22"/>
          <w:szCs w:val="22"/>
        </w:rPr>
        <w:t xml:space="preserve"> without prejudicing future discussions on this issue, for </w:t>
      </w:r>
      <w:r w:rsidR="00C676E1" w:rsidRPr="00E510D7">
        <w:rPr>
          <w:iCs/>
          <w:snapToGrid w:val="0"/>
          <w:kern w:val="22"/>
          <w:szCs w:val="22"/>
        </w:rPr>
        <w:t>subsequent consideration by the Subsidiary Body on Scientific, Technical and Technological Advice prior to the sixteenth meeting of the Conference of the Parties;</w:t>
      </w:r>
    </w:p>
    <w:p w14:paraId="15A3B92C" w14:textId="551CC616" w:rsidR="00C676E1" w:rsidRPr="008D2DCA" w:rsidRDefault="007E6B15" w:rsidP="00C676E1">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Pr>
          <w:iCs/>
          <w:snapToGrid w:val="0"/>
          <w:kern w:val="22"/>
          <w:szCs w:val="22"/>
        </w:rPr>
        <w:t>6</w:t>
      </w:r>
      <w:r w:rsidR="00C676E1" w:rsidRPr="008D2DCA">
        <w:rPr>
          <w:iCs/>
          <w:snapToGrid w:val="0"/>
          <w:kern w:val="22"/>
          <w:szCs w:val="22"/>
        </w:rPr>
        <w:t>.</w:t>
      </w:r>
      <w:r w:rsidR="00C676E1" w:rsidRPr="008D2DCA">
        <w:rPr>
          <w:iCs/>
          <w:snapToGrid w:val="0"/>
          <w:kern w:val="22"/>
          <w:szCs w:val="22"/>
        </w:rPr>
        <w:tab/>
      </w:r>
      <w:r w:rsidR="00C44948">
        <w:rPr>
          <w:i/>
          <w:snapToGrid w:val="0"/>
          <w:kern w:val="22"/>
          <w:szCs w:val="22"/>
        </w:rPr>
        <w:t>Further</w:t>
      </w:r>
      <w:r w:rsidR="00C44948" w:rsidRPr="008D2DCA">
        <w:rPr>
          <w:i/>
          <w:snapToGrid w:val="0"/>
          <w:kern w:val="22"/>
          <w:szCs w:val="22"/>
        </w:rPr>
        <w:t xml:space="preserve"> </w:t>
      </w:r>
      <w:r w:rsidR="002B529B" w:rsidRPr="008D2DCA">
        <w:rPr>
          <w:i/>
          <w:snapToGrid w:val="0"/>
          <w:kern w:val="22"/>
          <w:szCs w:val="22"/>
        </w:rPr>
        <w:t>r</w:t>
      </w:r>
      <w:r w:rsidR="00C676E1" w:rsidRPr="008D2DCA">
        <w:rPr>
          <w:i/>
          <w:snapToGrid w:val="0"/>
          <w:kern w:val="22"/>
          <w:szCs w:val="22"/>
        </w:rPr>
        <w:t>equests</w:t>
      </w:r>
      <w:r w:rsidR="00C676E1" w:rsidRPr="008D2DCA">
        <w:rPr>
          <w:iCs/>
          <w:snapToGrid w:val="0"/>
          <w:kern w:val="22"/>
          <w:szCs w:val="22"/>
        </w:rPr>
        <w:t xml:space="preserve"> the Executive Secretary, under the guidance of the Bureau of the Subsidiary Body on Scientific, Technical and Technological Advice, to develop voluntary guidelines on peer-review processes for</w:t>
      </w:r>
      <w:r w:rsidR="00C676E1" w:rsidRPr="008D2DCA">
        <w:rPr>
          <w:kern w:val="22"/>
          <w:szCs w:val="22"/>
        </w:rPr>
        <w:t xml:space="preserve"> </w:t>
      </w:r>
      <w:r w:rsidR="00C676E1" w:rsidRPr="008D2DCA">
        <w:rPr>
          <w:iCs/>
          <w:snapToGrid w:val="0"/>
          <w:kern w:val="22"/>
          <w:szCs w:val="22"/>
        </w:rPr>
        <w:t xml:space="preserve">the description of areas meeting the criteria for </w:t>
      </w:r>
      <w:r w:rsidR="00C676E1" w:rsidRPr="008D2DCA">
        <w:rPr>
          <w:snapToGrid w:val="0"/>
          <w:kern w:val="22"/>
          <w:szCs w:val="22"/>
        </w:rPr>
        <w:t>ecologically or biologically significant marine areas</w:t>
      </w:r>
      <w:r w:rsidR="00C676E1" w:rsidRPr="008D2DCA" w:rsidDel="0006703F">
        <w:rPr>
          <w:iCs/>
          <w:snapToGrid w:val="0"/>
          <w:kern w:val="22"/>
          <w:szCs w:val="22"/>
        </w:rPr>
        <w:t xml:space="preserve"> </w:t>
      </w:r>
      <w:r w:rsidR="00C676E1" w:rsidRPr="008D2DCA">
        <w:rPr>
          <w:iCs/>
          <w:snapToGrid w:val="0"/>
          <w:kern w:val="22"/>
          <w:szCs w:val="22"/>
        </w:rPr>
        <w:t>and other relevant compatible and complementary scientific criteria, for subsequent consideration by the Subsidiary Body on Scientific, Technical and Technological Advice prior to the sixteenth meeting of the Conference of the Parties;</w:t>
      </w:r>
    </w:p>
    <w:p w14:paraId="34E503B3" w14:textId="23DD0691" w:rsidR="00C676E1" w:rsidRPr="00AC42FC" w:rsidRDefault="007E6B15" w:rsidP="00C676E1">
      <w:pPr>
        <w:suppressLineNumbers/>
        <w:suppressAutoHyphens/>
        <w:kinsoku w:val="0"/>
        <w:overflowPunct w:val="0"/>
        <w:autoSpaceDE w:val="0"/>
        <w:autoSpaceDN w:val="0"/>
        <w:adjustRightInd w:val="0"/>
        <w:snapToGrid w:val="0"/>
        <w:spacing w:before="120" w:after="120"/>
        <w:ind w:firstLine="720"/>
        <w:rPr>
          <w:szCs w:val="22"/>
        </w:rPr>
      </w:pPr>
      <w:r w:rsidRPr="00AC42FC">
        <w:rPr>
          <w:iCs/>
          <w:snapToGrid w:val="0"/>
          <w:kern w:val="22"/>
          <w:szCs w:val="22"/>
        </w:rPr>
        <w:t>7</w:t>
      </w:r>
      <w:r w:rsidR="00C676E1" w:rsidRPr="00AC42FC">
        <w:rPr>
          <w:iCs/>
          <w:snapToGrid w:val="0"/>
          <w:kern w:val="22"/>
          <w:szCs w:val="22"/>
        </w:rPr>
        <w:t>.</w:t>
      </w:r>
      <w:r w:rsidR="00C676E1" w:rsidRPr="00AC42FC">
        <w:rPr>
          <w:iCs/>
          <w:snapToGrid w:val="0"/>
          <w:kern w:val="22"/>
          <w:szCs w:val="22"/>
        </w:rPr>
        <w:tab/>
      </w:r>
      <w:r w:rsidR="00C676E1" w:rsidRPr="00AC42FC">
        <w:rPr>
          <w:i/>
          <w:iCs/>
          <w:szCs w:val="22"/>
        </w:rPr>
        <w:t>Encourages</w:t>
      </w:r>
      <w:r w:rsidR="00C676E1" w:rsidRPr="00AC42FC">
        <w:rPr>
          <w:szCs w:val="22"/>
        </w:rPr>
        <w:t xml:space="preserve"> Parties and </w:t>
      </w:r>
      <w:r w:rsidR="00C676E1" w:rsidRPr="009A7D91">
        <w:rPr>
          <w:szCs w:val="22"/>
        </w:rPr>
        <w:t>invites</w:t>
      </w:r>
      <w:r w:rsidR="00C676E1" w:rsidRPr="00AC42FC">
        <w:rPr>
          <w:szCs w:val="22"/>
        </w:rPr>
        <w:t xml:space="preserve"> other Governments to take into consideration the experiences and outcomes of the </w:t>
      </w:r>
      <w:r w:rsidR="00631F58" w:rsidRPr="00AC42FC">
        <w:rPr>
          <w:szCs w:val="22"/>
        </w:rPr>
        <w:t xml:space="preserve">process </w:t>
      </w:r>
      <w:r w:rsidR="00270766" w:rsidRPr="00AC42FC">
        <w:rPr>
          <w:szCs w:val="22"/>
        </w:rPr>
        <w:t>to facilitate</w:t>
      </w:r>
      <w:r w:rsidR="00631F58" w:rsidRPr="00AC42FC">
        <w:rPr>
          <w:szCs w:val="22"/>
        </w:rPr>
        <w:t xml:space="preserve"> </w:t>
      </w:r>
      <w:r w:rsidR="00AD0C92" w:rsidRPr="00AC42FC">
        <w:rPr>
          <w:szCs w:val="22"/>
        </w:rPr>
        <w:t xml:space="preserve">the </w:t>
      </w:r>
      <w:r w:rsidR="00631F58" w:rsidRPr="00AC42FC">
        <w:rPr>
          <w:szCs w:val="22"/>
        </w:rPr>
        <w:t xml:space="preserve">description of </w:t>
      </w:r>
      <w:r w:rsidR="00CF31F6" w:rsidRPr="00AC42FC">
        <w:rPr>
          <w:szCs w:val="22"/>
          <w:lang w:val="en-US"/>
        </w:rPr>
        <w:t>ecologically or biologically significant marine areas</w:t>
      </w:r>
      <w:r w:rsidR="00C676E1" w:rsidRPr="00AC42FC">
        <w:rPr>
          <w:szCs w:val="22"/>
        </w:rPr>
        <w:t xml:space="preserve"> in the deliberations on an international legally binding instrument under the United Nations Convention on the Law of the Sea on the conservation and sustainable use of marine biological diversity of areas beyond national </w:t>
      </w:r>
      <w:proofErr w:type="gramStart"/>
      <w:r w:rsidR="00C676E1" w:rsidRPr="00AC42FC">
        <w:rPr>
          <w:szCs w:val="22"/>
        </w:rPr>
        <w:t>jurisdiction;</w:t>
      </w:r>
      <w:proofErr w:type="gramEnd"/>
    </w:p>
    <w:p w14:paraId="50CBC524" w14:textId="65BA74FD" w:rsidR="00C676E1" w:rsidRPr="008D2DCA" w:rsidRDefault="007E6B15" w:rsidP="00C676E1">
      <w:pPr>
        <w:suppressLineNumbers/>
        <w:suppressAutoHyphens/>
        <w:kinsoku w:val="0"/>
        <w:overflowPunct w:val="0"/>
        <w:autoSpaceDE w:val="0"/>
        <w:autoSpaceDN w:val="0"/>
        <w:adjustRightInd w:val="0"/>
        <w:snapToGrid w:val="0"/>
        <w:spacing w:before="120" w:after="120"/>
        <w:ind w:firstLine="720"/>
        <w:rPr>
          <w:szCs w:val="22"/>
        </w:rPr>
      </w:pPr>
      <w:r w:rsidRPr="00AC42FC">
        <w:rPr>
          <w:szCs w:val="22"/>
        </w:rPr>
        <w:t>8</w:t>
      </w:r>
      <w:r w:rsidR="00C676E1" w:rsidRPr="00AC42FC">
        <w:rPr>
          <w:szCs w:val="22"/>
        </w:rPr>
        <w:t xml:space="preserve">. </w:t>
      </w:r>
      <w:r w:rsidR="00C676E1" w:rsidRPr="00AC42FC">
        <w:rPr>
          <w:szCs w:val="22"/>
        </w:rPr>
        <w:tab/>
      </w:r>
      <w:r w:rsidR="00C676E1" w:rsidRPr="00AC42FC">
        <w:rPr>
          <w:i/>
          <w:iCs/>
          <w:szCs w:val="22"/>
        </w:rPr>
        <w:t>Invites</w:t>
      </w:r>
      <w:r w:rsidR="00C676E1" w:rsidRPr="00AC42FC">
        <w:rPr>
          <w:szCs w:val="22"/>
        </w:rPr>
        <w:t xml:space="preserve"> Parties and other Governments to take into account the experiences and outcomes of the </w:t>
      </w:r>
      <w:r w:rsidR="00AD0C92" w:rsidRPr="00AC42FC">
        <w:rPr>
          <w:szCs w:val="22"/>
        </w:rPr>
        <w:t xml:space="preserve">process </w:t>
      </w:r>
      <w:r w:rsidR="00A5438A" w:rsidRPr="00AC42FC">
        <w:rPr>
          <w:szCs w:val="22"/>
        </w:rPr>
        <w:t>to facilitate</w:t>
      </w:r>
      <w:r w:rsidR="00AD0C92" w:rsidRPr="00AC42FC">
        <w:rPr>
          <w:szCs w:val="22"/>
        </w:rPr>
        <w:t xml:space="preserve"> the description of </w:t>
      </w:r>
      <w:r w:rsidR="00AD0C92" w:rsidRPr="00AC42FC">
        <w:rPr>
          <w:szCs w:val="22"/>
          <w:lang w:val="en-US"/>
        </w:rPr>
        <w:t>ecologically or biologically significant marine areas</w:t>
      </w:r>
      <w:r w:rsidR="00AD0C92" w:rsidRPr="00AC42FC">
        <w:rPr>
          <w:szCs w:val="22"/>
        </w:rPr>
        <w:t xml:space="preserve"> </w:t>
      </w:r>
      <w:r w:rsidR="00C676E1" w:rsidRPr="008D2DCA">
        <w:rPr>
          <w:szCs w:val="22"/>
        </w:rPr>
        <w:t xml:space="preserve">when </w:t>
      </w:r>
      <w:proofErr w:type="spellStart"/>
      <w:r w:rsidR="00C676E1" w:rsidRPr="008D2DCA">
        <w:rPr>
          <w:szCs w:val="22"/>
        </w:rPr>
        <w:t>analyzing</w:t>
      </w:r>
      <w:proofErr w:type="spellEnd"/>
      <w:r w:rsidR="00C676E1" w:rsidRPr="008D2DCA">
        <w:rPr>
          <w:szCs w:val="22"/>
        </w:rPr>
        <w:t xml:space="preserve"> the risks and implications of deep-seabed mining, including in the context of deliberations under the International Seabed </w:t>
      </w:r>
      <w:proofErr w:type="gramStart"/>
      <w:r w:rsidR="00C676E1" w:rsidRPr="008D2DCA">
        <w:rPr>
          <w:szCs w:val="22"/>
        </w:rPr>
        <w:t>Authority;</w:t>
      </w:r>
      <w:proofErr w:type="gramEnd"/>
    </w:p>
    <w:p w14:paraId="30F37005" w14:textId="4B6FAB64" w:rsidR="00C676E1" w:rsidRPr="008D2DCA" w:rsidRDefault="007E6B15" w:rsidP="009A7D91">
      <w:pPr>
        <w:suppressLineNumbers/>
        <w:suppressAutoHyphens/>
        <w:kinsoku w:val="0"/>
        <w:overflowPunct w:val="0"/>
        <w:autoSpaceDE w:val="0"/>
        <w:autoSpaceDN w:val="0"/>
        <w:adjustRightInd w:val="0"/>
        <w:snapToGrid w:val="0"/>
        <w:spacing w:before="120" w:after="120"/>
        <w:ind w:firstLine="720"/>
        <w:rPr>
          <w:b/>
          <w:bCs/>
          <w:kern w:val="22"/>
          <w:szCs w:val="22"/>
        </w:rPr>
      </w:pPr>
      <w:r>
        <w:rPr>
          <w:szCs w:val="22"/>
        </w:rPr>
        <w:t>9</w:t>
      </w:r>
      <w:r w:rsidR="00C676E1" w:rsidRPr="008D2DCA">
        <w:rPr>
          <w:szCs w:val="22"/>
        </w:rPr>
        <w:t xml:space="preserve">. </w:t>
      </w:r>
      <w:r w:rsidR="00C676E1" w:rsidRPr="008D2DCA">
        <w:rPr>
          <w:szCs w:val="22"/>
        </w:rPr>
        <w:tab/>
      </w:r>
      <w:r w:rsidR="00C676E1" w:rsidRPr="008D2DCA">
        <w:rPr>
          <w:i/>
          <w:iCs/>
          <w:szCs w:val="22"/>
        </w:rPr>
        <w:t>Encourages</w:t>
      </w:r>
      <w:r w:rsidR="00C676E1" w:rsidRPr="008D2DCA">
        <w:rPr>
          <w:szCs w:val="22"/>
        </w:rPr>
        <w:t xml:space="preserve"> further collaboration and information-sharing between the Secretariat of the Convention on Biological Diversity and the Food and Agriculture Organization of the United Nations, the International Maritime Organization, the International Seabed Authority, </w:t>
      </w:r>
      <w:r w:rsidR="0000122E">
        <w:rPr>
          <w:szCs w:val="22"/>
        </w:rPr>
        <w:t>the</w:t>
      </w:r>
      <w:r w:rsidR="0000122E" w:rsidRPr="008D2DCA">
        <w:rPr>
          <w:szCs w:val="22"/>
        </w:rPr>
        <w:t xml:space="preserve"> </w:t>
      </w:r>
      <w:r w:rsidR="00C676E1" w:rsidRPr="008D2DCA">
        <w:rPr>
          <w:szCs w:val="22"/>
        </w:rPr>
        <w:t xml:space="preserve">Division for Ocean Affairs and the Law of the Sea, the Intergovernmental Oceanographic Commission of </w:t>
      </w:r>
      <w:r w:rsidR="00DC770D">
        <w:rPr>
          <w:szCs w:val="22"/>
        </w:rPr>
        <w:t xml:space="preserve">the United Nations </w:t>
      </w:r>
      <w:r w:rsidR="0022675A">
        <w:rPr>
          <w:szCs w:val="22"/>
        </w:rPr>
        <w:t xml:space="preserve">Educational, Scientific and Cultural Organization </w:t>
      </w:r>
      <w:r w:rsidR="00C676E1" w:rsidRPr="008D2DCA">
        <w:rPr>
          <w:szCs w:val="22"/>
        </w:rPr>
        <w:t>and the secretariats of the Intergovernmental Science-Policy Platform on Biodiversity and Ecosystem Services</w:t>
      </w:r>
      <w:r w:rsidR="00C676E1" w:rsidRPr="008D2DCA" w:rsidDel="00015257">
        <w:rPr>
          <w:szCs w:val="22"/>
        </w:rPr>
        <w:t xml:space="preserve"> </w:t>
      </w:r>
      <w:r w:rsidR="00C676E1" w:rsidRPr="008D2DCA">
        <w:rPr>
          <w:szCs w:val="22"/>
        </w:rPr>
        <w:t xml:space="preserve">and the Intergovernmental Panel on Climate Change, as well as regional fishery bodies, regional seas conventions and actions plans, and other relevant international organizations, regarding the use of information on ecologically or biologically significant marine areas, including the best available scientific information and the </w:t>
      </w:r>
      <w:r w:rsidR="00C676E1" w:rsidRPr="00721DA6">
        <w:rPr>
          <w:szCs w:val="22"/>
        </w:rPr>
        <w:t>traditional knowledge of indigenous peoples and local communities with their free, prior and informed consent</w:t>
      </w:r>
      <w:r w:rsidR="00C676E1" w:rsidRPr="00721DA6">
        <w:rPr>
          <w:rStyle w:val="FootnoteReference"/>
          <w:szCs w:val="22"/>
        </w:rPr>
        <w:footnoteReference w:id="6"/>
      </w:r>
      <w:r w:rsidR="00C676E1" w:rsidRPr="00721DA6">
        <w:rPr>
          <w:szCs w:val="22"/>
        </w:rPr>
        <w:t xml:space="preserve"> as one of the key pieces of information that can be used, inter alia, for guidance and cross-learning regarding the use of area-based management tools, including vulnerable</w:t>
      </w:r>
      <w:r w:rsidR="00C676E1" w:rsidRPr="008D2DCA">
        <w:rPr>
          <w:szCs w:val="22"/>
        </w:rPr>
        <w:t xml:space="preserve"> marine ecosystems, particularly sensitive sea areas, and areas of particular environmental interest, important marine mammal areas, among other approaches, with a view to contributing to the achievement of the </w:t>
      </w:r>
      <w:r w:rsidR="00A71C0C">
        <w:rPr>
          <w:szCs w:val="22"/>
        </w:rPr>
        <w:t>Kunming-Montreal</w:t>
      </w:r>
      <w:r w:rsidR="00C676E1" w:rsidRPr="008D2DCA">
        <w:rPr>
          <w:szCs w:val="22"/>
        </w:rPr>
        <w:t xml:space="preserve"> </w:t>
      </w:r>
      <w:r w:rsidR="00A71C0C">
        <w:rPr>
          <w:szCs w:val="22"/>
        </w:rPr>
        <w:t>G</w:t>
      </w:r>
      <w:r w:rsidR="00C676E1" w:rsidRPr="008D2DCA">
        <w:rPr>
          <w:szCs w:val="22"/>
        </w:rPr>
        <w:t xml:space="preserve">lobal </w:t>
      </w:r>
      <w:r w:rsidR="00A71C0C">
        <w:rPr>
          <w:szCs w:val="22"/>
        </w:rPr>
        <w:t>B</w:t>
      </w:r>
      <w:r w:rsidR="00C676E1" w:rsidRPr="008D2DCA">
        <w:rPr>
          <w:szCs w:val="22"/>
        </w:rPr>
        <w:t xml:space="preserve">iodiversity </w:t>
      </w:r>
      <w:r w:rsidR="00A71C0C">
        <w:rPr>
          <w:szCs w:val="22"/>
        </w:rPr>
        <w:t>F</w:t>
      </w:r>
      <w:r w:rsidR="00C676E1" w:rsidRPr="008D2DCA">
        <w:rPr>
          <w:szCs w:val="22"/>
        </w:rPr>
        <w:t>ramework and relevant Sustainable Development Goals.</w:t>
      </w:r>
      <w:r w:rsidR="00865386">
        <w:rPr>
          <w:szCs w:val="22"/>
        </w:rPr>
        <w:t xml:space="preserve"> </w:t>
      </w:r>
    </w:p>
    <w:p w14:paraId="6A8B6562" w14:textId="5D2BAC66" w:rsidR="00C9161D" w:rsidRDefault="00C9161D" w:rsidP="00C9161D">
      <w:pPr>
        <w:jc w:val="center"/>
      </w:pPr>
      <w:r w:rsidRPr="008D2DCA">
        <w:t>______</w:t>
      </w:r>
      <w:r w:rsidR="001F08DA">
        <w:t>___</w:t>
      </w:r>
    </w:p>
    <w:p w14:paraId="00BD5053" w14:textId="77777777" w:rsidR="00B3369F" w:rsidRPr="00C9161D" w:rsidRDefault="00B3369F" w:rsidP="00C9161D"/>
    <w:sectPr w:rsidR="00B3369F" w:rsidRPr="00C9161D"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74B3" w14:textId="77777777" w:rsidR="00ED0DF3" w:rsidRDefault="00ED0DF3" w:rsidP="00CF1848">
      <w:r>
        <w:separator/>
      </w:r>
    </w:p>
  </w:endnote>
  <w:endnote w:type="continuationSeparator" w:id="0">
    <w:p w14:paraId="48C55EE0" w14:textId="77777777" w:rsidR="00ED0DF3" w:rsidRDefault="00ED0DF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72B4" w14:textId="77777777" w:rsidR="00ED0DF3" w:rsidRDefault="00ED0DF3" w:rsidP="00CF1848">
      <w:r>
        <w:separator/>
      </w:r>
    </w:p>
  </w:footnote>
  <w:footnote w:type="continuationSeparator" w:id="0">
    <w:p w14:paraId="07E14730" w14:textId="77777777" w:rsidR="00ED0DF3" w:rsidRDefault="00ED0DF3" w:rsidP="00CF1848">
      <w:r>
        <w:continuationSeparator/>
      </w:r>
    </w:p>
  </w:footnote>
  <w:footnote w:id="1">
    <w:p w14:paraId="7F89A156" w14:textId="1EC8A860" w:rsidR="00BE7BAC" w:rsidRPr="001D3924" w:rsidRDefault="00BE7BAC" w:rsidP="00980BF7">
      <w:pPr>
        <w:pStyle w:val="FootnoteText"/>
        <w:ind w:firstLine="0"/>
        <w:rPr>
          <w:szCs w:val="18"/>
          <w:lang w:val="en-US"/>
        </w:rPr>
      </w:pPr>
      <w:r w:rsidRPr="00980BF7">
        <w:rPr>
          <w:rStyle w:val="FootnoteReference"/>
          <w:sz w:val="18"/>
          <w:szCs w:val="18"/>
        </w:rPr>
        <w:footnoteRef/>
      </w:r>
      <w:r w:rsidRPr="00BE7BAC">
        <w:rPr>
          <w:szCs w:val="18"/>
        </w:rPr>
        <w:t xml:space="preserve"> Türkiye dissociates itself from the reference made to the United Nations Convention on the Law of the Sea, to which it is not a party. </w:t>
      </w:r>
      <w:r w:rsidR="00850468">
        <w:rPr>
          <w:szCs w:val="18"/>
        </w:rPr>
        <w:t>The p</w:t>
      </w:r>
      <w:r w:rsidRPr="00BE7BAC">
        <w:rPr>
          <w:szCs w:val="18"/>
        </w:rPr>
        <w:t>articipat</w:t>
      </w:r>
      <w:r w:rsidR="00850468">
        <w:rPr>
          <w:szCs w:val="18"/>
        </w:rPr>
        <w:t xml:space="preserve">ion of </w:t>
      </w:r>
      <w:r w:rsidR="00850468" w:rsidRPr="00BE7BAC">
        <w:rPr>
          <w:szCs w:val="18"/>
        </w:rPr>
        <w:t>Türkiye</w:t>
      </w:r>
      <w:r w:rsidR="00850468" w:rsidRPr="00BE7BAC" w:rsidDel="00850468">
        <w:rPr>
          <w:szCs w:val="18"/>
        </w:rPr>
        <w:t xml:space="preserve"> </w:t>
      </w:r>
      <w:r w:rsidR="00446DB8">
        <w:rPr>
          <w:szCs w:val="18"/>
        </w:rPr>
        <w:t xml:space="preserve">in </w:t>
      </w:r>
      <w:r w:rsidR="00850468">
        <w:rPr>
          <w:szCs w:val="18"/>
        </w:rPr>
        <w:t xml:space="preserve">the discussions under </w:t>
      </w:r>
      <w:r w:rsidR="00446DB8">
        <w:rPr>
          <w:szCs w:val="18"/>
        </w:rPr>
        <w:t>this agenda item during</w:t>
      </w:r>
      <w:r w:rsidRPr="00BE7BAC">
        <w:rPr>
          <w:szCs w:val="18"/>
        </w:rPr>
        <w:t xml:space="preserve"> </w:t>
      </w:r>
      <w:r w:rsidR="00446DB8">
        <w:rPr>
          <w:szCs w:val="18"/>
        </w:rPr>
        <w:t>COP-</w:t>
      </w:r>
      <w:r w:rsidR="00446DB8" w:rsidRPr="001D3924">
        <w:rPr>
          <w:szCs w:val="18"/>
        </w:rPr>
        <w:t xml:space="preserve">15 </w:t>
      </w:r>
      <w:r w:rsidRPr="001D3924">
        <w:rPr>
          <w:szCs w:val="18"/>
        </w:rPr>
        <w:t xml:space="preserve">cannot be construed as a change in the well-known legal position of Türkiye </w:t>
      </w:r>
      <w:proofErr w:type="gramStart"/>
      <w:r w:rsidRPr="001D3924">
        <w:rPr>
          <w:szCs w:val="18"/>
        </w:rPr>
        <w:t>with regard to</w:t>
      </w:r>
      <w:proofErr w:type="gramEnd"/>
      <w:r w:rsidRPr="001D3924">
        <w:rPr>
          <w:szCs w:val="18"/>
        </w:rPr>
        <w:t xml:space="preserve"> the said instrument.</w:t>
      </w:r>
    </w:p>
  </w:footnote>
  <w:footnote w:id="2">
    <w:p w14:paraId="511281F7" w14:textId="12F03296" w:rsidR="00F577CB" w:rsidRPr="009A7D91" w:rsidRDefault="00BE7BAC" w:rsidP="00980BF7">
      <w:pPr>
        <w:pStyle w:val="FootnoteText"/>
        <w:ind w:firstLine="0"/>
        <w:rPr>
          <w:szCs w:val="18"/>
        </w:rPr>
      </w:pPr>
      <w:r w:rsidRPr="001D3924">
        <w:rPr>
          <w:rStyle w:val="FootnoteReference"/>
          <w:sz w:val="18"/>
          <w:szCs w:val="18"/>
        </w:rPr>
        <w:footnoteRef/>
      </w:r>
      <w:r w:rsidRPr="001D3924">
        <w:rPr>
          <w:szCs w:val="18"/>
        </w:rPr>
        <w:t xml:space="preserve"> Colombia reaffirms that the United Nations Convention on the Law of the Sea is not the only legal instruments governing </w:t>
      </w:r>
      <w:proofErr w:type="gramStart"/>
      <w:r w:rsidRPr="001D3924">
        <w:rPr>
          <w:szCs w:val="18"/>
        </w:rPr>
        <w:t>all of</w:t>
      </w:r>
      <w:proofErr w:type="gramEnd"/>
      <w:r w:rsidRPr="001D3924">
        <w:rPr>
          <w:szCs w:val="18"/>
        </w:rPr>
        <w:t xml:space="preserve"> the legal activities carried out in the oceans and seas. The participation of Colombia in </w:t>
      </w:r>
      <w:r w:rsidR="0087083F" w:rsidRPr="001D3924">
        <w:rPr>
          <w:szCs w:val="18"/>
        </w:rPr>
        <w:t>the discussions under</w:t>
      </w:r>
      <w:r w:rsidR="00134DB1" w:rsidRPr="001D3924">
        <w:rPr>
          <w:szCs w:val="18"/>
        </w:rPr>
        <w:t xml:space="preserve"> this agenda item during COP-15</w:t>
      </w:r>
      <w:r w:rsidRPr="001D3924">
        <w:rPr>
          <w:szCs w:val="18"/>
        </w:rPr>
        <w:t xml:space="preserve"> does not affect its status or rights, nor can it be interpreted as a tacit or express acceptance of the provisions of the United Nations Convention on the Law of the Sea, an instrument to which Colombia is not a party</w:t>
      </w:r>
      <w:r w:rsidR="009514B4" w:rsidRPr="001D3924">
        <w:rPr>
          <w:szCs w:val="18"/>
        </w:rPr>
        <w:t>.</w:t>
      </w:r>
    </w:p>
  </w:footnote>
  <w:footnote w:id="3">
    <w:p w14:paraId="1A969293" w14:textId="23D15174" w:rsidR="00F577CB" w:rsidRPr="00F577CB" w:rsidRDefault="00F577CB" w:rsidP="009A7D91">
      <w:pPr>
        <w:pStyle w:val="FootnoteText"/>
        <w:ind w:firstLine="0"/>
        <w:rPr>
          <w:szCs w:val="18"/>
        </w:rPr>
      </w:pPr>
      <w:r w:rsidRPr="001D3924">
        <w:rPr>
          <w:rStyle w:val="FootnoteReference"/>
        </w:rPr>
        <w:footnoteRef/>
      </w:r>
      <w:r w:rsidRPr="001D3924">
        <w:t xml:space="preserve"> </w:t>
      </w:r>
      <w:r w:rsidRPr="001D3924">
        <w:rPr>
          <w:lang w:val="en-US"/>
        </w:rPr>
        <w:t xml:space="preserve">The Bolivarian Republic of Venezuela considers that </w:t>
      </w:r>
      <w:r w:rsidRPr="001D3924">
        <w:rPr>
          <w:szCs w:val="18"/>
        </w:rPr>
        <w:t xml:space="preserve">the United Nations Convention on the Law of the Sea </w:t>
      </w:r>
      <w:r w:rsidRPr="001D3924">
        <w:rPr>
          <w:lang w:val="en-US"/>
        </w:rPr>
        <w:t xml:space="preserve">is not the only legal instrument that governs activities related to the seas and oceans. Therefore, Venezuela disassociates itself from the reference to said international instrument, and participation in </w:t>
      </w:r>
      <w:r w:rsidR="0083360D" w:rsidRPr="001D3924">
        <w:rPr>
          <w:lang w:val="en-US"/>
        </w:rPr>
        <w:t xml:space="preserve">the discussions under this agenda item during COP-15 </w:t>
      </w:r>
      <w:r w:rsidRPr="001D3924">
        <w:rPr>
          <w:lang w:val="en-US"/>
        </w:rPr>
        <w:t xml:space="preserve">cannot be considered as a change in Venezuela’s national position regarding the </w:t>
      </w:r>
      <w:r w:rsidRPr="001D3924">
        <w:rPr>
          <w:szCs w:val="18"/>
        </w:rPr>
        <w:t>United Nations Convention on the Law of the Sea.</w:t>
      </w:r>
    </w:p>
  </w:footnote>
  <w:footnote w:id="4">
    <w:p w14:paraId="66FF0A5F" w14:textId="77777777" w:rsidR="00C676E1" w:rsidRPr="00B00D77" w:rsidRDefault="00C676E1" w:rsidP="00C676E1">
      <w:pPr>
        <w:pStyle w:val="FootnoteText"/>
        <w:suppressLineNumbers/>
        <w:suppressAutoHyphens/>
        <w:kinsoku w:val="0"/>
        <w:overflowPunct w:val="0"/>
        <w:autoSpaceDE w:val="0"/>
        <w:autoSpaceDN w:val="0"/>
        <w:ind w:firstLine="0"/>
        <w:jc w:val="left"/>
        <w:rPr>
          <w:kern w:val="18"/>
          <w:szCs w:val="18"/>
        </w:rPr>
      </w:pPr>
      <w:r w:rsidRPr="00416B83">
        <w:rPr>
          <w:rStyle w:val="FootnoteReference"/>
          <w:rFonts w:eastAsiaTheme="majorEastAsia"/>
          <w:kern w:val="18"/>
          <w:szCs w:val="18"/>
        </w:rPr>
        <w:footnoteRef/>
      </w:r>
      <w:r w:rsidRPr="00B00D77">
        <w:rPr>
          <w:kern w:val="18"/>
          <w:szCs w:val="18"/>
        </w:rPr>
        <w:t xml:space="preserve"> CBD/EBSA/WS/2020/1/2.</w:t>
      </w:r>
    </w:p>
  </w:footnote>
  <w:footnote w:id="5">
    <w:p w14:paraId="779B2F65" w14:textId="258C5001" w:rsidR="00721DA6" w:rsidRPr="00980BF7" w:rsidRDefault="00721DA6" w:rsidP="00980BF7">
      <w:pPr>
        <w:pStyle w:val="FootnoteText"/>
        <w:ind w:firstLine="0"/>
        <w:rPr>
          <w:lang w:val="en-US"/>
        </w:rPr>
      </w:pPr>
      <w:r>
        <w:rPr>
          <w:rStyle w:val="FootnoteReference"/>
        </w:rPr>
        <w:footnoteRef/>
      </w:r>
      <w:r>
        <w:t xml:space="preserve"> </w:t>
      </w:r>
      <w:r w:rsidR="00BE7BAC">
        <w:rPr>
          <w:lang w:val="en-US"/>
        </w:rPr>
        <w:t xml:space="preserve">Also considering the </w:t>
      </w:r>
      <w:r w:rsidR="00BE7BAC" w:rsidRPr="00E510D7">
        <w:rPr>
          <w:lang w:val="en-US"/>
        </w:rPr>
        <w:t>information contained in document</w:t>
      </w:r>
      <w:r w:rsidR="00BE7BAC">
        <w:rPr>
          <w:lang w:val="en-US"/>
        </w:rPr>
        <w:t>s</w:t>
      </w:r>
      <w:r w:rsidR="00BE7BAC" w:rsidRPr="00E510D7">
        <w:rPr>
          <w:lang w:val="en-US"/>
        </w:rPr>
        <w:t xml:space="preserve"> </w:t>
      </w:r>
      <w:r w:rsidR="00BE7BAC" w:rsidRPr="009051BA">
        <w:t>CBD/SBSTTA/24/INF/41 and CBD/EBSA/OM/2022/2/1</w:t>
      </w:r>
      <w:r w:rsidR="00BE7BAC">
        <w:t>.</w:t>
      </w:r>
    </w:p>
  </w:footnote>
  <w:footnote w:id="6">
    <w:p w14:paraId="5FF98B77" w14:textId="772CBC00" w:rsidR="00C676E1" w:rsidRPr="00243A11" w:rsidRDefault="00C676E1" w:rsidP="00C676E1">
      <w:pPr>
        <w:pStyle w:val="FootnoteText"/>
        <w:ind w:firstLine="0"/>
        <w:rPr>
          <w:lang w:val="en-US"/>
        </w:rPr>
      </w:pPr>
      <w:r>
        <w:rPr>
          <w:rStyle w:val="FootnoteReference"/>
        </w:rPr>
        <w:footnoteRef/>
      </w:r>
      <w:r>
        <w:t xml:space="preserve"> In this decision, free, prior and informed consent refers to the tripartite terminology of “prior and informed consent” or “free, prior and informed consent” or “approval and involvement”</w:t>
      </w:r>
      <w:r w:rsidR="008579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160F0894" w:rsidR="00534681" w:rsidRPr="00980BF7" w:rsidRDefault="005513D3" w:rsidP="00534681">
        <w:pPr>
          <w:pStyle w:val="Header"/>
          <w:rPr>
            <w:lang w:val="en-CA"/>
          </w:rPr>
        </w:pPr>
        <w:r>
          <w:rPr>
            <w:lang w:val="en-CA"/>
          </w:rPr>
          <w:t>CBD/COP/DEC/15/26</w:t>
        </w:r>
      </w:p>
    </w:sdtContent>
  </w:sdt>
  <w:p w14:paraId="3EA48BBD" w14:textId="77777777" w:rsidR="00534681" w:rsidRPr="00980BF7" w:rsidRDefault="00534681" w:rsidP="00534681">
    <w:pPr>
      <w:pStyle w:val="Header"/>
      <w:rPr>
        <w:lang w:val="en-CA"/>
      </w:rPr>
    </w:pPr>
    <w:r w:rsidRPr="00980BF7">
      <w:rPr>
        <w:lang w:val="en-CA"/>
      </w:rPr>
      <w:t xml:space="preserve">Page </w:t>
    </w:r>
    <w:r>
      <w:fldChar w:fldCharType="begin"/>
    </w:r>
    <w:r w:rsidRPr="00980BF7">
      <w:rPr>
        <w:lang w:val="en-CA"/>
      </w:rPr>
      <w:instrText xml:space="preserve"> PAGE   \* MERGEFORMAT </w:instrText>
    </w:r>
    <w:r>
      <w:fldChar w:fldCharType="separate"/>
    </w:r>
    <w:r w:rsidR="009C200D" w:rsidRPr="00980BF7">
      <w:rPr>
        <w:noProof/>
        <w:lang w:val="en-CA"/>
      </w:rPr>
      <w:t>2</w:t>
    </w:r>
    <w:r>
      <w:rPr>
        <w:noProof/>
      </w:rPr>
      <w:fldChar w:fldCharType="end"/>
    </w:r>
  </w:p>
  <w:p w14:paraId="4991B278" w14:textId="77777777" w:rsidR="00534681" w:rsidRPr="00980BF7" w:rsidRDefault="00534681">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9C8C2CC" w:rsidR="009505C9" w:rsidRPr="00980BF7" w:rsidRDefault="005513D3" w:rsidP="009505C9">
        <w:pPr>
          <w:pStyle w:val="Header"/>
          <w:jc w:val="right"/>
          <w:rPr>
            <w:lang w:val="en-CA"/>
          </w:rPr>
        </w:pPr>
        <w:r>
          <w:rPr>
            <w:lang w:val="en-CA"/>
          </w:rPr>
          <w:t>CBD/COP/DEC/15/26</w:t>
        </w:r>
      </w:p>
    </w:sdtContent>
  </w:sdt>
  <w:p w14:paraId="213AB81C" w14:textId="77777777" w:rsidR="009505C9" w:rsidRPr="00980BF7" w:rsidRDefault="009505C9" w:rsidP="009505C9">
    <w:pPr>
      <w:pStyle w:val="Header"/>
      <w:jc w:val="right"/>
      <w:rPr>
        <w:lang w:val="en-CA"/>
      </w:rPr>
    </w:pPr>
    <w:r w:rsidRPr="00980BF7">
      <w:rPr>
        <w:lang w:val="en-CA"/>
      </w:rPr>
      <w:t xml:space="preserve">Page </w:t>
    </w:r>
    <w:r>
      <w:fldChar w:fldCharType="begin"/>
    </w:r>
    <w:r w:rsidRPr="00980BF7">
      <w:rPr>
        <w:lang w:val="en-CA"/>
      </w:rPr>
      <w:instrText xml:space="preserve"> PAGE   \* MERGEFORMAT </w:instrText>
    </w:r>
    <w:r>
      <w:fldChar w:fldCharType="separate"/>
    </w:r>
    <w:r w:rsidR="009C200D" w:rsidRPr="00980BF7">
      <w:rPr>
        <w:noProof/>
        <w:lang w:val="en-CA"/>
      </w:rPr>
      <w:t>1</w:t>
    </w:r>
    <w:r>
      <w:rPr>
        <w:noProof/>
      </w:rPr>
      <w:fldChar w:fldCharType="end"/>
    </w:r>
  </w:p>
  <w:p w14:paraId="64B5CF41" w14:textId="77777777" w:rsidR="009505C9" w:rsidRPr="00980BF7" w:rsidRDefault="009505C9">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501400">
    <w:abstractNumId w:val="4"/>
  </w:num>
  <w:num w:numId="2" w16cid:durableId="848833712">
    <w:abstractNumId w:val="7"/>
  </w:num>
  <w:num w:numId="3" w16cid:durableId="826284116">
    <w:abstractNumId w:val="5"/>
  </w:num>
  <w:num w:numId="4" w16cid:durableId="2109811719">
    <w:abstractNumId w:val="7"/>
  </w:num>
  <w:num w:numId="5" w16cid:durableId="154881906">
    <w:abstractNumId w:val="6"/>
  </w:num>
  <w:num w:numId="6" w16cid:durableId="344327903">
    <w:abstractNumId w:val="0"/>
  </w:num>
  <w:num w:numId="7" w16cid:durableId="311376710">
    <w:abstractNumId w:val="2"/>
  </w:num>
  <w:num w:numId="8" w16cid:durableId="173229785">
    <w:abstractNumId w:val="5"/>
    <w:lvlOverride w:ilvl="0">
      <w:startOverride w:val="1"/>
    </w:lvlOverride>
  </w:num>
  <w:num w:numId="9" w16cid:durableId="473184192">
    <w:abstractNumId w:val="11"/>
  </w:num>
  <w:num w:numId="10" w16cid:durableId="262617712">
    <w:abstractNumId w:val="5"/>
    <w:lvlOverride w:ilvl="0">
      <w:startOverride w:val="1"/>
    </w:lvlOverride>
  </w:num>
  <w:num w:numId="11" w16cid:durableId="945891552">
    <w:abstractNumId w:val="5"/>
    <w:lvlOverride w:ilvl="0">
      <w:startOverride w:val="1"/>
    </w:lvlOverride>
  </w:num>
  <w:num w:numId="12" w16cid:durableId="704329561">
    <w:abstractNumId w:val="5"/>
    <w:lvlOverride w:ilvl="0">
      <w:startOverride w:val="1"/>
    </w:lvlOverride>
  </w:num>
  <w:num w:numId="13" w16cid:durableId="932786547">
    <w:abstractNumId w:val="5"/>
    <w:lvlOverride w:ilvl="0">
      <w:startOverride w:val="1"/>
    </w:lvlOverride>
  </w:num>
  <w:num w:numId="14" w16cid:durableId="935136654">
    <w:abstractNumId w:val="10"/>
  </w:num>
  <w:num w:numId="15" w16cid:durableId="98650075">
    <w:abstractNumId w:val="9"/>
  </w:num>
  <w:num w:numId="16" w16cid:durableId="10953387">
    <w:abstractNumId w:val="1"/>
  </w:num>
  <w:num w:numId="17" w16cid:durableId="825048644">
    <w:abstractNumId w:val="12"/>
  </w:num>
  <w:num w:numId="18" w16cid:durableId="669598830">
    <w:abstractNumId w:val="13"/>
  </w:num>
  <w:num w:numId="19" w16cid:durableId="818499198">
    <w:abstractNumId w:val="3"/>
  </w:num>
  <w:num w:numId="20" w16cid:durableId="712774760">
    <w:abstractNumId w:val="11"/>
  </w:num>
  <w:num w:numId="21" w16cid:durableId="1078789426">
    <w:abstractNumId w:val="4"/>
  </w:num>
  <w:num w:numId="22" w16cid:durableId="807824972">
    <w:abstractNumId w:val="7"/>
  </w:num>
  <w:num w:numId="23" w16cid:durableId="1164977650">
    <w:abstractNumId w:val="6"/>
  </w:num>
  <w:num w:numId="24" w16cid:durableId="1079786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122E"/>
    <w:rsid w:val="00035904"/>
    <w:rsid w:val="000449AC"/>
    <w:rsid w:val="00047196"/>
    <w:rsid w:val="00053CC0"/>
    <w:rsid w:val="000E673A"/>
    <w:rsid w:val="000F74F5"/>
    <w:rsid w:val="00101896"/>
    <w:rsid w:val="00105372"/>
    <w:rsid w:val="00116A14"/>
    <w:rsid w:val="00131E7A"/>
    <w:rsid w:val="00134DB1"/>
    <w:rsid w:val="00165DAC"/>
    <w:rsid w:val="00172AF6"/>
    <w:rsid w:val="00176CEE"/>
    <w:rsid w:val="00182AC9"/>
    <w:rsid w:val="0019516B"/>
    <w:rsid w:val="00195332"/>
    <w:rsid w:val="001D0C4A"/>
    <w:rsid w:val="001D3924"/>
    <w:rsid w:val="001D6FC8"/>
    <w:rsid w:val="001F08DA"/>
    <w:rsid w:val="00210ECA"/>
    <w:rsid w:val="0022675A"/>
    <w:rsid w:val="00270766"/>
    <w:rsid w:val="002A4F2A"/>
    <w:rsid w:val="002B529B"/>
    <w:rsid w:val="002C2E98"/>
    <w:rsid w:val="002C470F"/>
    <w:rsid w:val="002D68B5"/>
    <w:rsid w:val="002E65DF"/>
    <w:rsid w:val="0034416B"/>
    <w:rsid w:val="0036546B"/>
    <w:rsid w:val="003672D5"/>
    <w:rsid w:val="00372F74"/>
    <w:rsid w:val="00374104"/>
    <w:rsid w:val="003B56DC"/>
    <w:rsid w:val="003C5220"/>
    <w:rsid w:val="003D5D41"/>
    <w:rsid w:val="003F0E3C"/>
    <w:rsid w:val="003F4AAF"/>
    <w:rsid w:val="003F7224"/>
    <w:rsid w:val="00405146"/>
    <w:rsid w:val="0042412C"/>
    <w:rsid w:val="00426830"/>
    <w:rsid w:val="00427D21"/>
    <w:rsid w:val="00433999"/>
    <w:rsid w:val="00437C93"/>
    <w:rsid w:val="00446DB8"/>
    <w:rsid w:val="00461EFF"/>
    <w:rsid w:val="004644C2"/>
    <w:rsid w:val="00467F9C"/>
    <w:rsid w:val="00472034"/>
    <w:rsid w:val="00494515"/>
    <w:rsid w:val="004D0D9F"/>
    <w:rsid w:val="004D3F26"/>
    <w:rsid w:val="004D7F61"/>
    <w:rsid w:val="004E1B32"/>
    <w:rsid w:val="004E30B0"/>
    <w:rsid w:val="004E68FC"/>
    <w:rsid w:val="004F446F"/>
    <w:rsid w:val="00510E76"/>
    <w:rsid w:val="00516693"/>
    <w:rsid w:val="00522946"/>
    <w:rsid w:val="00523BCD"/>
    <w:rsid w:val="00534681"/>
    <w:rsid w:val="005513D3"/>
    <w:rsid w:val="00594BDC"/>
    <w:rsid w:val="005A2734"/>
    <w:rsid w:val="005A27F5"/>
    <w:rsid w:val="005A3FB4"/>
    <w:rsid w:val="005C50FD"/>
    <w:rsid w:val="005E41C9"/>
    <w:rsid w:val="005F0FF6"/>
    <w:rsid w:val="005F4417"/>
    <w:rsid w:val="006122BA"/>
    <w:rsid w:val="00616A08"/>
    <w:rsid w:val="00625640"/>
    <w:rsid w:val="00631F58"/>
    <w:rsid w:val="0064292F"/>
    <w:rsid w:val="00666D48"/>
    <w:rsid w:val="00680B2A"/>
    <w:rsid w:val="00693F3A"/>
    <w:rsid w:val="006A3044"/>
    <w:rsid w:val="006A792D"/>
    <w:rsid w:val="006B2290"/>
    <w:rsid w:val="006C3C2E"/>
    <w:rsid w:val="006C57AA"/>
    <w:rsid w:val="006D5609"/>
    <w:rsid w:val="006F359C"/>
    <w:rsid w:val="00717D88"/>
    <w:rsid w:val="00720C54"/>
    <w:rsid w:val="00721DA6"/>
    <w:rsid w:val="00741287"/>
    <w:rsid w:val="0075569F"/>
    <w:rsid w:val="007744DA"/>
    <w:rsid w:val="00791ACA"/>
    <w:rsid w:val="007942D3"/>
    <w:rsid w:val="007B6C09"/>
    <w:rsid w:val="007C3F96"/>
    <w:rsid w:val="007E09DA"/>
    <w:rsid w:val="007E6B15"/>
    <w:rsid w:val="008103E5"/>
    <w:rsid w:val="00816938"/>
    <w:rsid w:val="008178B6"/>
    <w:rsid w:val="00822C4C"/>
    <w:rsid w:val="0083360D"/>
    <w:rsid w:val="00833D39"/>
    <w:rsid w:val="00850468"/>
    <w:rsid w:val="008579F6"/>
    <w:rsid w:val="00863B0B"/>
    <w:rsid w:val="00865386"/>
    <w:rsid w:val="00865B74"/>
    <w:rsid w:val="0087083F"/>
    <w:rsid w:val="00886758"/>
    <w:rsid w:val="008C27E8"/>
    <w:rsid w:val="008C27E9"/>
    <w:rsid w:val="008C7D63"/>
    <w:rsid w:val="008D2DCA"/>
    <w:rsid w:val="008E6273"/>
    <w:rsid w:val="0091618E"/>
    <w:rsid w:val="00930BA1"/>
    <w:rsid w:val="0093169E"/>
    <w:rsid w:val="00934B89"/>
    <w:rsid w:val="009505C9"/>
    <w:rsid w:val="009514B4"/>
    <w:rsid w:val="00980BF7"/>
    <w:rsid w:val="009A7D91"/>
    <w:rsid w:val="009C200D"/>
    <w:rsid w:val="009C783C"/>
    <w:rsid w:val="009D36A3"/>
    <w:rsid w:val="00A03C00"/>
    <w:rsid w:val="00A10A8B"/>
    <w:rsid w:val="00A2284F"/>
    <w:rsid w:val="00A23837"/>
    <w:rsid w:val="00A31F76"/>
    <w:rsid w:val="00A36C50"/>
    <w:rsid w:val="00A5438A"/>
    <w:rsid w:val="00A71C0C"/>
    <w:rsid w:val="00A77E50"/>
    <w:rsid w:val="00AA3D7A"/>
    <w:rsid w:val="00AC42FC"/>
    <w:rsid w:val="00AD0C92"/>
    <w:rsid w:val="00B3369F"/>
    <w:rsid w:val="00B40119"/>
    <w:rsid w:val="00B77B32"/>
    <w:rsid w:val="00BA1021"/>
    <w:rsid w:val="00BA59C7"/>
    <w:rsid w:val="00BC12C7"/>
    <w:rsid w:val="00BD6B50"/>
    <w:rsid w:val="00BE7BAC"/>
    <w:rsid w:val="00C00A19"/>
    <w:rsid w:val="00C07861"/>
    <w:rsid w:val="00C20258"/>
    <w:rsid w:val="00C27795"/>
    <w:rsid w:val="00C44948"/>
    <w:rsid w:val="00C655CC"/>
    <w:rsid w:val="00C676E1"/>
    <w:rsid w:val="00C90A3A"/>
    <w:rsid w:val="00C9161D"/>
    <w:rsid w:val="00C96808"/>
    <w:rsid w:val="00CA44A0"/>
    <w:rsid w:val="00CA7C3A"/>
    <w:rsid w:val="00CB3D63"/>
    <w:rsid w:val="00CC395C"/>
    <w:rsid w:val="00CD2267"/>
    <w:rsid w:val="00CD4CA3"/>
    <w:rsid w:val="00CF1848"/>
    <w:rsid w:val="00CF314F"/>
    <w:rsid w:val="00CF31F6"/>
    <w:rsid w:val="00D12044"/>
    <w:rsid w:val="00D3642C"/>
    <w:rsid w:val="00D76A18"/>
    <w:rsid w:val="00D82A07"/>
    <w:rsid w:val="00D921E6"/>
    <w:rsid w:val="00D96D80"/>
    <w:rsid w:val="00DA25F5"/>
    <w:rsid w:val="00DC770D"/>
    <w:rsid w:val="00DD118C"/>
    <w:rsid w:val="00DD62B1"/>
    <w:rsid w:val="00DE2204"/>
    <w:rsid w:val="00E24FCB"/>
    <w:rsid w:val="00E3692B"/>
    <w:rsid w:val="00E4125F"/>
    <w:rsid w:val="00E4550C"/>
    <w:rsid w:val="00E510D7"/>
    <w:rsid w:val="00E63703"/>
    <w:rsid w:val="00E66235"/>
    <w:rsid w:val="00E76776"/>
    <w:rsid w:val="00E83C24"/>
    <w:rsid w:val="00E9318D"/>
    <w:rsid w:val="00EA408E"/>
    <w:rsid w:val="00EB1741"/>
    <w:rsid w:val="00ED0DF3"/>
    <w:rsid w:val="00EE0CDA"/>
    <w:rsid w:val="00EF1840"/>
    <w:rsid w:val="00F034CA"/>
    <w:rsid w:val="00F1260A"/>
    <w:rsid w:val="00F2311B"/>
    <w:rsid w:val="00F245A5"/>
    <w:rsid w:val="00F35E6C"/>
    <w:rsid w:val="00F361C9"/>
    <w:rsid w:val="00F577CB"/>
    <w:rsid w:val="00F74E54"/>
    <w:rsid w:val="00F92862"/>
    <w:rsid w:val="00F94774"/>
    <w:rsid w:val="00FA08BD"/>
    <w:rsid w:val="00FC48C3"/>
    <w:rsid w:val="00FC53DB"/>
    <w:rsid w:val="00FC56F8"/>
    <w:rsid w:val="00FC789F"/>
    <w:rsid w:val="00FD14F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uiPriority w:val="99"/>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link w:val="ListParagraphChar"/>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NormalWeb">
    <w:name w:val="Normal (Web)"/>
    <w:basedOn w:val="Normal"/>
    <w:uiPriority w:val="99"/>
    <w:unhideWhenUsed/>
    <w:rsid w:val="00C676E1"/>
  </w:style>
  <w:style w:type="character" w:customStyle="1" w:styleId="ListParagraphChar">
    <w:name w:val="List Paragraph Char"/>
    <w:link w:val="ListParagraph"/>
    <w:uiPriority w:val="34"/>
    <w:locked/>
    <w:rsid w:val="00C676E1"/>
    <w:rPr>
      <w:rFonts w:ascii="Times New Roman" w:eastAsia="Times New Roman" w:hAnsi="Times New Roman" w:cs="Times New Roman"/>
      <w:sz w:val="22"/>
      <w:lang w:val="en-GB"/>
    </w:rPr>
  </w:style>
  <w:style w:type="character" w:styleId="Emphasis">
    <w:name w:val="Emphasis"/>
    <w:basedOn w:val="DefaultParagraphFont"/>
    <w:uiPriority w:val="20"/>
    <w:qFormat/>
    <w:rsid w:val="00C676E1"/>
    <w:rPr>
      <w:i/>
      <w:iCs/>
    </w:rPr>
  </w:style>
  <w:style w:type="character" w:styleId="UnresolvedMention">
    <w:name w:val="Unresolved Mention"/>
    <w:basedOn w:val="DefaultParagraphFont"/>
    <w:uiPriority w:val="99"/>
    <w:semiHidden/>
    <w:unhideWhenUsed/>
    <w:rsid w:val="008C27E9"/>
    <w:rPr>
      <w:color w:val="605E5C"/>
      <w:shd w:val="clear" w:color="auto" w:fill="E1DFDD"/>
    </w:rPr>
  </w:style>
  <w:style w:type="paragraph" w:styleId="Revision">
    <w:name w:val="Revision"/>
    <w:hidden/>
    <w:uiPriority w:val="99"/>
    <w:semiHidden/>
    <w:rsid w:val="00E76776"/>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C00A1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00A1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uments-dds-ny.un.org/doc/UNDOC/GEN/N17/468/77/PDF/N1746877.pdf?OpenE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uments-dds-ny.un.org/doc/UNDOC/GEN/N21/386/39/PDF/N2138639.pdf?OpenEl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6C949987F154D9683AAC86F9FA9620C"/>
        <w:category>
          <w:name w:val="General"/>
          <w:gallery w:val="placeholder"/>
        </w:category>
        <w:types>
          <w:type w:val="bbPlcHdr"/>
        </w:types>
        <w:behaviors>
          <w:behavior w:val="content"/>
        </w:behaviors>
        <w:guid w:val="{0CE1CA50-6028-4685-9DBA-608C5EA50D30}"/>
      </w:docPartPr>
      <w:docPartBody>
        <w:p w:rsidR="00CB1DA8" w:rsidRDefault="000E60CA" w:rsidP="000E60CA">
          <w:pPr>
            <w:pStyle w:val="B6C949987F154D9683AAC86F9FA9620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9264F"/>
    <w:rsid w:val="000E60CA"/>
    <w:rsid w:val="001C7CBE"/>
    <w:rsid w:val="001F1672"/>
    <w:rsid w:val="002671F8"/>
    <w:rsid w:val="002832D7"/>
    <w:rsid w:val="002B7438"/>
    <w:rsid w:val="003B0BDA"/>
    <w:rsid w:val="00500A2B"/>
    <w:rsid w:val="0058288D"/>
    <w:rsid w:val="006801B3"/>
    <w:rsid w:val="006C0F8D"/>
    <w:rsid w:val="00712798"/>
    <w:rsid w:val="00720F63"/>
    <w:rsid w:val="007877EA"/>
    <w:rsid w:val="007A2463"/>
    <w:rsid w:val="007F1B76"/>
    <w:rsid w:val="00810A55"/>
    <w:rsid w:val="0085671A"/>
    <w:rsid w:val="008C6619"/>
    <w:rsid w:val="008D420E"/>
    <w:rsid w:val="0098642F"/>
    <w:rsid w:val="00AA1DCB"/>
    <w:rsid w:val="00C008ED"/>
    <w:rsid w:val="00C82269"/>
    <w:rsid w:val="00CB1DA8"/>
    <w:rsid w:val="00CE6602"/>
    <w:rsid w:val="00CF0D48"/>
    <w:rsid w:val="00DE29E7"/>
    <w:rsid w:val="00F47F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60CA"/>
  </w:style>
  <w:style w:type="paragraph" w:customStyle="1" w:styleId="B6C949987F154D9683AAC86F9FA9620C">
    <w:name w:val="B6C949987F154D9683AAC86F9FA9620C"/>
    <w:rsid w:val="000E60C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91E44-5851-45BD-BE2E-A404AC69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1207</Words>
  <Characters>7376</Characters>
  <Application>Microsoft Office Word</Application>
  <DocSecurity>0</DocSecurity>
  <Lines>111</Lines>
  <Paragraphs>36</Paragraphs>
  <ScaleCrop>false</ScaleCrop>
  <HeadingPairs>
    <vt:vector size="2" baseType="variant">
      <vt:variant>
        <vt:lpstr>Title</vt:lpstr>
      </vt:variant>
      <vt:variant>
        <vt:i4>1</vt:i4>
      </vt:variant>
    </vt:vector>
  </HeadingPairs>
  <TitlesOfParts>
    <vt:vector size="1" baseType="lpstr">
      <vt:lpstr>15/26.	Ecologically or biologically significant marine areas: further work</vt:lpstr>
    </vt:vector>
  </TitlesOfParts>
  <Company>SCBD</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15/26.	Ecologically or biologically significant marine areas: further work</dc:title>
  <dc:subject>CBD/COP/DEC/15/26</dc:subject>
  <dc:creator>SCBD</dc:creator>
  <cp:keywords>Decision adopted by the Conference of the Parties to the Convention on Biological Diversity, fifteenth meeting</cp:keywords>
  <cp:lastModifiedBy>Veronique Lefebvre</cp:lastModifiedBy>
  <cp:revision>6</cp:revision>
  <cp:lastPrinted>2022-12-12T18:07:00Z</cp:lastPrinted>
  <dcterms:created xsi:type="dcterms:W3CDTF">2023-03-17T18:18:00Z</dcterms:created>
  <dcterms:modified xsi:type="dcterms:W3CDTF">2023-03-17T18:24:00Z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y fmtid="{D5CDD505-2E9C-101B-9397-08002B2CF9AE}" pid="4" name="GrammarlyDocumentId">
    <vt:lpwstr>b6a251d07465a5cd63d4bdf939e6df4eefa31b6f2c4392fd5f67f958ff3fb3c9</vt:lpwstr>
  </property>
</Properties>
</file>