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
        <w:gridCol w:w="5141"/>
        <w:gridCol w:w="4089"/>
      </w:tblGrid>
      <w:tr w:rsidR="002109FB" w:rsidTr="005912E9">
        <w:trPr>
          <w:trHeight w:val="851"/>
        </w:trPr>
        <w:tc>
          <w:tcPr>
            <w:tcW w:w="976" w:type="dxa"/>
            <w:tcBorders>
              <w:bottom w:val="single" w:sz="12" w:space="0" w:color="auto"/>
            </w:tcBorders>
          </w:tcPr>
          <w:p w:rsidR="002109FB" w:rsidRPr="00321985" w:rsidRDefault="002109FB" w:rsidP="005912E9">
            <w:r>
              <w:rPr>
                <w:noProof/>
                <w:lang w:eastAsia="en-GB"/>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rsidR="002109FB" w:rsidRPr="00321985" w:rsidRDefault="004A7B27" w:rsidP="005912E9">
            <w:r w:rsidRPr="004A7B27">
              <w:rPr>
                <w:noProof/>
                <w:lang w:eastAsia="en-GB"/>
              </w:rPr>
              <w:drawing>
                <wp:inline distT="0" distB="0" distL="0" distR="0">
                  <wp:extent cx="866775" cy="371475"/>
                  <wp:effectExtent l="0" t="0" r="9525" b="9525"/>
                  <wp:docPr id="5"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4090" w:type="dxa"/>
            <w:tcBorders>
              <w:bottom w:val="single" w:sz="12" w:space="0" w:color="auto"/>
            </w:tcBorders>
          </w:tcPr>
          <w:p w:rsidR="002109FB" w:rsidRPr="00C9161D" w:rsidRDefault="002109FB" w:rsidP="005912E9">
            <w:pPr>
              <w:jc w:val="right"/>
              <w:rPr>
                <w:rFonts w:ascii="Arial" w:hAnsi="Arial" w:cs="Arial"/>
                <w:b/>
                <w:sz w:val="32"/>
                <w:szCs w:val="32"/>
              </w:rPr>
            </w:pPr>
            <w:r w:rsidRPr="00C9161D">
              <w:rPr>
                <w:rFonts w:ascii="Arial" w:hAnsi="Arial" w:cs="Arial"/>
                <w:b/>
                <w:sz w:val="32"/>
                <w:szCs w:val="32"/>
              </w:rPr>
              <w:t>CBD</w:t>
            </w:r>
          </w:p>
        </w:tc>
      </w:tr>
      <w:tr w:rsidR="002109FB" w:rsidTr="005912E9">
        <w:tc>
          <w:tcPr>
            <w:tcW w:w="6117" w:type="dxa"/>
            <w:gridSpan w:val="2"/>
            <w:tcBorders>
              <w:top w:val="single" w:sz="12" w:space="0" w:color="auto"/>
              <w:bottom w:val="single" w:sz="36" w:space="0" w:color="auto"/>
            </w:tcBorders>
            <w:vAlign w:val="center"/>
          </w:tcPr>
          <w:p w:rsidR="002109FB" w:rsidRDefault="004A7B27" w:rsidP="005912E9">
            <w:r w:rsidRPr="000366C5">
              <w:rPr>
                <w:noProof/>
                <w:lang w:eastAsia="en-GB"/>
              </w:rPr>
              <w:drawing>
                <wp:inline distT="0" distB="0" distL="0" distR="0">
                  <wp:extent cx="2619375" cy="1085850"/>
                  <wp:effectExtent l="0" t="0" r="9525"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2109FB" w:rsidRPr="00C9161D" w:rsidRDefault="002109FB" w:rsidP="005912E9">
            <w:pPr>
              <w:ind w:left="1215"/>
              <w:rPr>
                <w:szCs w:val="22"/>
              </w:rPr>
            </w:pPr>
            <w:r w:rsidRPr="00C9161D">
              <w:rPr>
                <w:szCs w:val="22"/>
              </w:rPr>
              <w:t>Distr.</w:t>
            </w:r>
          </w:p>
          <w:p w:rsidR="002109FB" w:rsidRPr="00C9161D" w:rsidRDefault="00682FA0" w:rsidP="005912E9">
            <w:pPr>
              <w:ind w:left="1215"/>
              <w:rPr>
                <w:szCs w:val="22"/>
              </w:rPr>
            </w:pPr>
            <w:r>
              <w:rPr>
                <w:caps/>
                <w:szCs w:val="22"/>
              </w:rPr>
              <w:t>GENERAL</w:t>
            </w:r>
          </w:p>
          <w:p w:rsidR="002109FB" w:rsidRPr="00C9161D" w:rsidRDefault="002109FB" w:rsidP="005912E9">
            <w:pPr>
              <w:ind w:left="1215"/>
              <w:rPr>
                <w:szCs w:val="22"/>
              </w:rPr>
            </w:pPr>
          </w:p>
          <w:p w:rsidR="002109FB" w:rsidRPr="00C9161D" w:rsidRDefault="00AF78B3" w:rsidP="005912E9">
            <w:pPr>
              <w:ind w:left="1215"/>
              <w:rPr>
                <w:szCs w:val="22"/>
              </w:rPr>
            </w:pPr>
            <w:sdt>
              <w:sdtPr>
                <w:rPr>
                  <w:lang w:val="en-US"/>
                </w:rPr>
                <w:alias w:val="Subject"/>
                <w:tag w:val=""/>
                <w:id w:val="2137136483"/>
                <w:placeholder>
                  <w:docPart w:val="389AF8573EDD448195CCBC65351B014C"/>
                </w:placeholder>
                <w:dataBinding w:prefixMappings="xmlns:ns0='http://purl.org/dc/elements/1.1/' xmlns:ns1='http://schemas.openxmlformats.org/package/2006/metadata/core-properties' " w:xpath="/ns1:coreProperties[1]/ns0:subject[1]" w:storeItemID="{6C3C8BC8-F283-45AE-878A-BAB7291924A1}"/>
                <w:text/>
              </w:sdtPr>
              <w:sdtContent>
                <w:r w:rsidR="00682FA0" w:rsidRPr="00B4649C">
                  <w:rPr>
                    <w:lang w:val="en-US"/>
                  </w:rPr>
                  <w:t>CBD/COP/DEC/15/25</w:t>
                </w:r>
              </w:sdtContent>
            </w:sdt>
          </w:p>
          <w:p w:rsidR="002109FB" w:rsidRPr="00C9161D" w:rsidRDefault="002109FB" w:rsidP="005912E9">
            <w:pPr>
              <w:ind w:left="1215"/>
              <w:rPr>
                <w:szCs w:val="22"/>
              </w:rPr>
            </w:pPr>
            <w:r>
              <w:rPr>
                <w:szCs w:val="22"/>
                <w:lang w:val="en-US"/>
              </w:rPr>
              <w:t>1</w:t>
            </w:r>
            <w:r w:rsidR="00682FA0">
              <w:rPr>
                <w:szCs w:val="22"/>
                <w:lang w:val="ru-RU"/>
              </w:rPr>
              <w:t>9</w:t>
            </w:r>
            <w:r>
              <w:rPr>
                <w:szCs w:val="22"/>
                <w:lang w:val="en-US"/>
              </w:rPr>
              <w:t xml:space="preserve"> December 2022</w:t>
            </w:r>
          </w:p>
          <w:p w:rsidR="00D0642B" w:rsidRDefault="00D0642B" w:rsidP="005912E9">
            <w:pPr>
              <w:ind w:left="1215"/>
              <w:rPr>
                <w:szCs w:val="22"/>
              </w:rPr>
            </w:pPr>
          </w:p>
          <w:p w:rsidR="002109FB" w:rsidRPr="00C9161D" w:rsidRDefault="00D0642B" w:rsidP="005912E9">
            <w:pPr>
              <w:ind w:left="1215"/>
              <w:rPr>
                <w:szCs w:val="22"/>
              </w:rPr>
            </w:pPr>
            <w:r>
              <w:rPr>
                <w:szCs w:val="22"/>
              </w:rPr>
              <w:t>RUSSIAN</w:t>
            </w:r>
          </w:p>
          <w:p w:rsidR="002109FB" w:rsidRDefault="002109FB" w:rsidP="004A7B27">
            <w:pPr>
              <w:ind w:left="1215"/>
              <w:rPr>
                <w:szCs w:val="22"/>
              </w:rPr>
            </w:pPr>
            <w:r>
              <w:rPr>
                <w:szCs w:val="22"/>
              </w:rPr>
              <w:t xml:space="preserve">ORIGINAL: </w:t>
            </w:r>
            <w:r w:rsidRPr="00C9161D">
              <w:rPr>
                <w:szCs w:val="22"/>
              </w:rPr>
              <w:t>ENGLISH</w:t>
            </w:r>
          </w:p>
          <w:p w:rsidR="004A7B27" w:rsidRPr="004A7B27" w:rsidRDefault="004A7B27" w:rsidP="004A7B27">
            <w:pPr>
              <w:ind w:left="1215"/>
              <w:rPr>
                <w:szCs w:val="22"/>
              </w:rPr>
            </w:pPr>
          </w:p>
        </w:tc>
      </w:tr>
    </w:tbl>
    <w:p w:rsidR="00D410F2" w:rsidRPr="00C47C84" w:rsidRDefault="00D410F2" w:rsidP="00D410F2">
      <w:pPr>
        <w:pStyle w:val="Cornernotation"/>
        <w:spacing w:before="60"/>
        <w:ind w:left="180" w:right="4784" w:hanging="180"/>
        <w:rPr>
          <w:lang w:val="ru-RU"/>
        </w:rPr>
      </w:pPr>
      <w:r w:rsidRPr="00C47C84">
        <w:rPr>
          <w:lang w:val="ru-RU" w:bidi="ru-RU"/>
        </w:rPr>
        <w:t>КОНФЕРЕНЦИЯ СТОРОН КОНВЕНЦИИ О БИОЛОГИЧЕСКОМ РАЗНООБРАЗИИ</w:t>
      </w:r>
    </w:p>
    <w:p w:rsidR="00D410F2" w:rsidRPr="005A379D" w:rsidRDefault="00D410F2" w:rsidP="00D410F2">
      <w:pPr>
        <w:pStyle w:val="Cornernotation"/>
        <w:ind w:right="4784"/>
        <w:rPr>
          <w:lang w:val="ru-RU"/>
        </w:rPr>
      </w:pPr>
      <w:r w:rsidRPr="00C47C84">
        <w:rPr>
          <w:lang w:val="ru-RU"/>
        </w:rPr>
        <w:t>Пятнадцатое совещание</w:t>
      </w:r>
    </w:p>
    <w:p w:rsidR="00305E66" w:rsidRPr="00D410F2" w:rsidRDefault="00D410F2" w:rsidP="00D410F2">
      <w:pPr>
        <w:pStyle w:val="Cornernotation"/>
        <w:kinsoku w:val="0"/>
        <w:overflowPunct w:val="0"/>
        <w:autoSpaceDE w:val="0"/>
        <w:autoSpaceDN w:val="0"/>
        <w:ind w:left="227" w:right="4075" w:hanging="227"/>
        <w:rPr>
          <w:snapToGrid w:val="0"/>
          <w:kern w:val="22"/>
          <w:szCs w:val="22"/>
          <w:lang w:val="ru-RU" w:eastAsia="nb-NO"/>
        </w:rPr>
      </w:pPr>
      <w:r w:rsidRPr="005A379D">
        <w:rPr>
          <w:snapToGrid w:val="0"/>
          <w:kern w:val="22"/>
          <w:szCs w:val="22"/>
          <w:lang w:val="ru-RU" w:eastAsia="nb-NO"/>
        </w:rPr>
        <w:t>Монреаль, Канада, 7</w:t>
      </w:r>
      <w:r w:rsidR="00874548">
        <w:rPr>
          <w:snapToGrid w:val="0"/>
          <w:kern w:val="22"/>
          <w:szCs w:val="22"/>
          <w:lang w:val="ru-RU" w:eastAsia="nb-NO"/>
        </w:rPr>
        <w:t>-</w:t>
      </w:r>
      <w:r w:rsidRPr="005A379D">
        <w:rPr>
          <w:snapToGrid w:val="0"/>
          <w:kern w:val="22"/>
          <w:szCs w:val="22"/>
          <w:lang w:val="ru-RU" w:eastAsia="nb-NO"/>
        </w:rPr>
        <w:t>19 декабря 2022 года</w:t>
      </w:r>
      <w:r>
        <w:rPr>
          <w:snapToGrid w:val="0"/>
          <w:kern w:val="22"/>
          <w:szCs w:val="22"/>
          <w:lang w:val="ru-RU" w:eastAsia="nb-NO"/>
        </w:rPr>
        <w:t xml:space="preserve"> </w:t>
      </w:r>
    </w:p>
    <w:p w:rsidR="00305E66" w:rsidRPr="00D410F2" w:rsidRDefault="00D410F2" w:rsidP="00305E66">
      <w:pPr>
        <w:pStyle w:val="Cornernotation"/>
        <w:rPr>
          <w:lang w:val="ru-RU"/>
        </w:rPr>
      </w:pPr>
      <w:r>
        <w:rPr>
          <w:lang w:val="ru-RU"/>
        </w:rPr>
        <w:t>Пункт</w:t>
      </w:r>
      <w:r w:rsidR="00305E66" w:rsidRPr="004A7B27">
        <w:rPr>
          <w:lang w:val="ru-RU"/>
        </w:rPr>
        <w:t xml:space="preserve"> </w:t>
      </w:r>
      <w:r w:rsidR="00835E8A" w:rsidRPr="004A7B27">
        <w:rPr>
          <w:lang w:val="ru-RU"/>
        </w:rPr>
        <w:t>20</w:t>
      </w:r>
      <w:r w:rsidR="00835E8A">
        <w:t>A</w:t>
      </w:r>
      <w:r w:rsidR="00835E8A" w:rsidRPr="004A7B27">
        <w:rPr>
          <w:lang w:val="ru-RU"/>
        </w:rPr>
        <w:t>1</w:t>
      </w:r>
      <w:r>
        <w:rPr>
          <w:lang w:val="ru-RU"/>
        </w:rPr>
        <w:t xml:space="preserve"> повестки дня</w:t>
      </w:r>
    </w:p>
    <w:p w:rsidR="000C7F25" w:rsidRDefault="000C7F25" w:rsidP="000C7F25">
      <w:pPr>
        <w:tabs>
          <w:tab w:val="left" w:pos="708"/>
        </w:tabs>
        <w:spacing w:before="240" w:after="120"/>
        <w:jc w:val="center"/>
        <w:rPr>
          <w:b/>
          <w:iCs/>
          <w:snapToGrid w:val="0"/>
          <w:szCs w:val="18"/>
          <w:lang w:val="fr-FR"/>
        </w:rPr>
      </w:pPr>
      <w:r w:rsidRPr="00EE5DBE">
        <w:rPr>
          <w:b/>
        </w:rPr>
        <w:t>РЕШЕНИЕ, ПРИНЯТОЕ КОНФЕРЕНЦИЕЙ СТОРОН КОНВЕНЦИИ О БИОЛОГИЧЕСКОМ РАЗНООБРАЗИИ</w:t>
      </w:r>
    </w:p>
    <w:p w:rsidR="00C9161D" w:rsidRPr="00D0642B" w:rsidRDefault="000C7F25" w:rsidP="00D42703">
      <w:pPr>
        <w:spacing w:before="240" w:after="240"/>
        <w:jc w:val="center"/>
        <w:rPr>
          <w:b/>
          <w:caps/>
          <w:lang w:val="ru-RU"/>
        </w:rPr>
      </w:pPr>
      <w:r>
        <w:rPr>
          <w:b/>
          <w:bCs/>
          <w:iCs/>
          <w:lang w:val="fr-FR"/>
        </w:rPr>
        <w:t>15/25.</w:t>
      </w:r>
      <w:r>
        <w:rPr>
          <w:b/>
          <w:bCs/>
          <w:iCs/>
          <w:lang w:val="fr-FR"/>
        </w:rPr>
        <w:tab/>
      </w:r>
      <w:r w:rsidR="00874548" w:rsidRPr="00D0642B">
        <w:rPr>
          <w:b/>
          <w:bCs/>
          <w:iCs/>
          <w:lang w:val="ru-RU"/>
        </w:rPr>
        <w:t>Э</w:t>
      </w:r>
      <w:r w:rsidRPr="00D0642B">
        <w:rPr>
          <w:b/>
          <w:bCs/>
          <w:iCs/>
          <w:lang w:val="ru-RU"/>
        </w:rPr>
        <w:t xml:space="preserve">кологически или биологически значимые морские районы в северо-восточной части </w:t>
      </w:r>
      <w:r>
        <w:rPr>
          <w:b/>
          <w:bCs/>
          <w:iCs/>
          <w:lang w:val="ru-RU"/>
        </w:rPr>
        <w:t>А</w:t>
      </w:r>
      <w:r w:rsidRPr="00D0642B">
        <w:rPr>
          <w:b/>
          <w:bCs/>
          <w:iCs/>
          <w:lang w:val="ru-RU"/>
        </w:rPr>
        <w:t>тлантического океана и прилегающие территории</w:t>
      </w:r>
      <w:r w:rsidR="00105372" w:rsidRPr="00D0642B">
        <w:rPr>
          <w:b/>
          <w:caps/>
          <w:lang w:val="ru-RU"/>
        </w:rPr>
        <w:t xml:space="preserve"> </w:t>
      </w:r>
    </w:p>
    <w:p w:rsidR="004A39AD" w:rsidRPr="005A379D" w:rsidRDefault="004A39AD" w:rsidP="004A39AD">
      <w:pPr>
        <w:suppressLineNumbers/>
        <w:suppressAutoHyphens/>
        <w:kinsoku w:val="0"/>
        <w:overflowPunct w:val="0"/>
        <w:autoSpaceDE w:val="0"/>
        <w:autoSpaceDN w:val="0"/>
        <w:spacing w:before="120" w:after="120"/>
        <w:ind w:firstLine="709"/>
        <w:rPr>
          <w:i/>
          <w:snapToGrid w:val="0"/>
          <w:kern w:val="22"/>
          <w:szCs w:val="22"/>
          <w:lang w:val="ru-RU" w:eastAsia="ko-KR"/>
        </w:rPr>
      </w:pPr>
      <w:r w:rsidRPr="005A379D">
        <w:rPr>
          <w:bCs/>
          <w:i/>
          <w:snapToGrid w:val="0"/>
          <w:kern w:val="22"/>
          <w:szCs w:val="22"/>
          <w:lang w:val="ru-RU" w:eastAsia="ko-KR"/>
        </w:rPr>
        <w:t>Конференция Сторон</w:t>
      </w:r>
    </w:p>
    <w:p w:rsidR="004A39AD" w:rsidRPr="005A379D" w:rsidRDefault="004A39AD" w:rsidP="004A39AD">
      <w:pPr>
        <w:spacing w:before="120" w:after="120"/>
        <w:ind w:firstLine="709"/>
        <w:rPr>
          <w:szCs w:val="22"/>
          <w:lang w:val="ru-RU"/>
        </w:rPr>
      </w:pPr>
      <w:r w:rsidRPr="005A379D">
        <w:rPr>
          <w:snapToGrid w:val="0"/>
          <w:kern w:val="22"/>
          <w:szCs w:val="22"/>
          <w:lang w:val="ru-RU"/>
        </w:rPr>
        <w:t>1.</w:t>
      </w:r>
      <w:r w:rsidRPr="005A379D">
        <w:rPr>
          <w:snapToGrid w:val="0"/>
          <w:kern w:val="22"/>
          <w:szCs w:val="22"/>
          <w:lang w:val="ru-RU"/>
        </w:rPr>
        <w:tab/>
      </w:r>
      <w:r>
        <w:rPr>
          <w:i/>
          <w:szCs w:val="22"/>
          <w:lang w:val="ru-RU"/>
        </w:rPr>
        <w:t>признает</w:t>
      </w:r>
      <w:r w:rsidRPr="005A379D">
        <w:rPr>
          <w:szCs w:val="22"/>
          <w:lang w:val="ru-RU"/>
        </w:rPr>
        <w:t xml:space="preserve">, </w:t>
      </w:r>
      <w:r>
        <w:rPr>
          <w:szCs w:val="22"/>
          <w:lang w:val="ru-RU"/>
        </w:rPr>
        <w:t>что</w:t>
      </w:r>
      <w:r w:rsidRPr="005A379D">
        <w:rPr>
          <w:szCs w:val="22"/>
          <w:lang w:val="ru-RU"/>
        </w:rPr>
        <w:t xml:space="preserve"> </w:t>
      </w:r>
      <w:r w:rsidRPr="005A379D">
        <w:rPr>
          <w:iCs/>
          <w:szCs w:val="22"/>
          <w:lang w:val="ru-RU"/>
        </w:rPr>
        <w:t>в соответствии с поручением 10-го и 11-го совещаний</w:t>
      </w:r>
      <w:r w:rsidR="00682FA0" w:rsidRPr="00682FA0">
        <w:rPr>
          <w:iCs/>
          <w:szCs w:val="22"/>
          <w:lang w:val="ru-RU"/>
        </w:rPr>
        <w:t xml:space="preserve"> </w:t>
      </w:r>
      <w:r w:rsidR="00682FA0" w:rsidRPr="005A379D">
        <w:rPr>
          <w:iCs/>
          <w:szCs w:val="22"/>
          <w:lang w:val="ru-RU"/>
        </w:rPr>
        <w:t>Конференции Сторон</w:t>
      </w:r>
      <w:r w:rsidR="00682FA0" w:rsidRPr="005A379D">
        <w:rPr>
          <w:szCs w:val="22"/>
          <w:vertAlign w:val="superscript"/>
          <w:lang w:val="ru-RU"/>
        </w:rPr>
        <w:t xml:space="preserve"> </w:t>
      </w:r>
      <w:r w:rsidRPr="005A379D">
        <w:rPr>
          <w:szCs w:val="22"/>
          <w:vertAlign w:val="superscript"/>
          <w:lang w:val="ru-RU"/>
        </w:rPr>
        <w:footnoteReference w:id="1"/>
      </w:r>
      <w:r w:rsidRPr="005A379D">
        <w:rPr>
          <w:iCs/>
          <w:szCs w:val="22"/>
          <w:lang w:val="ru-RU"/>
        </w:rPr>
        <w:t xml:space="preserve"> </w:t>
      </w:r>
      <w:r w:rsidR="00682FA0" w:rsidRPr="005A379D">
        <w:rPr>
          <w:iCs/>
          <w:szCs w:val="22"/>
          <w:lang w:val="ru-RU"/>
        </w:rPr>
        <w:t xml:space="preserve">Исполнительный секретарь </w:t>
      </w:r>
      <w:r w:rsidRPr="005A379D">
        <w:rPr>
          <w:iCs/>
          <w:szCs w:val="22"/>
          <w:lang w:val="ru-RU"/>
        </w:rPr>
        <w:t>успешно провел серию региональных семинаров, охвативших большую часть мирового океана, и оказал тем самым содействие описанию 338 территорий, подпадающих под критерии экологически или биологически значимых морских районов</w:t>
      </w:r>
      <w:r w:rsidRPr="005A379D">
        <w:rPr>
          <w:szCs w:val="22"/>
          <w:lang w:val="ru-RU"/>
        </w:rPr>
        <w:t>;</w:t>
      </w:r>
    </w:p>
    <w:p w:rsidR="004A39AD" w:rsidRPr="005A379D" w:rsidRDefault="004A39AD" w:rsidP="004A39AD">
      <w:pPr>
        <w:spacing w:before="120" w:after="120"/>
        <w:ind w:firstLine="709"/>
        <w:rPr>
          <w:szCs w:val="22"/>
          <w:lang w:val="ru-RU"/>
        </w:rPr>
      </w:pPr>
      <w:r w:rsidRPr="005A379D">
        <w:rPr>
          <w:szCs w:val="22"/>
          <w:lang w:val="ru-RU"/>
        </w:rPr>
        <w:t>2.</w:t>
      </w:r>
      <w:r w:rsidRPr="005A379D">
        <w:rPr>
          <w:szCs w:val="22"/>
          <w:lang w:val="ru-RU"/>
        </w:rPr>
        <w:tab/>
      </w:r>
      <w:r w:rsidRPr="005A379D">
        <w:rPr>
          <w:i/>
          <w:iCs/>
          <w:szCs w:val="22"/>
          <w:lang w:val="ru-RU"/>
        </w:rPr>
        <w:t xml:space="preserve">выражает свою признательность </w:t>
      </w:r>
      <w:r w:rsidRPr="005A379D">
        <w:rPr>
          <w:iCs/>
          <w:szCs w:val="22"/>
          <w:lang w:val="ru-RU"/>
        </w:rPr>
        <w:t xml:space="preserve">всем Сторонам, другим правительствам, организациям и субъектам деятельности, которые внесли свой вклад в этот процесс, и </w:t>
      </w:r>
      <w:r w:rsidRPr="000C7F25">
        <w:rPr>
          <w:iCs/>
          <w:szCs w:val="22"/>
          <w:lang w:val="ru-RU"/>
        </w:rPr>
        <w:t>призывает</w:t>
      </w:r>
      <w:r w:rsidRPr="005A379D">
        <w:rPr>
          <w:iCs/>
          <w:szCs w:val="22"/>
          <w:lang w:val="ru-RU"/>
        </w:rPr>
        <w:t xml:space="preserve"> продолжать усилия по описанию территорий, подпадающих под критерии экологически или биологически значимых морских районов, используя при этом наиболее качественную имеющуюся научную информацию, а также повышать число и охват экологически или биологически значимых морских районов по всему миру</w:t>
      </w:r>
      <w:r w:rsidRPr="005A379D">
        <w:rPr>
          <w:szCs w:val="22"/>
          <w:lang w:val="ru-RU"/>
        </w:rPr>
        <w:t>;</w:t>
      </w:r>
    </w:p>
    <w:p w:rsidR="004A39AD" w:rsidRPr="005A379D" w:rsidRDefault="004A39AD" w:rsidP="004A39AD">
      <w:pPr>
        <w:spacing w:before="120" w:after="120"/>
        <w:ind w:firstLine="709"/>
        <w:rPr>
          <w:snapToGrid w:val="0"/>
          <w:kern w:val="22"/>
          <w:szCs w:val="22"/>
          <w:lang w:val="ru-RU"/>
        </w:rPr>
      </w:pPr>
      <w:proofErr w:type="gramStart"/>
      <w:r w:rsidRPr="005A379D">
        <w:rPr>
          <w:snapToGrid w:val="0"/>
          <w:kern w:val="22"/>
          <w:szCs w:val="22"/>
          <w:lang w:val="ru-RU"/>
        </w:rPr>
        <w:t>3.</w:t>
      </w:r>
      <w:r w:rsidRPr="005A379D">
        <w:rPr>
          <w:i/>
          <w:snapToGrid w:val="0"/>
          <w:kern w:val="22"/>
          <w:szCs w:val="22"/>
          <w:lang w:val="ru-RU"/>
        </w:rPr>
        <w:tab/>
        <w:t>выражает благодарность</w:t>
      </w:r>
      <w:r w:rsidRPr="005A379D">
        <w:rPr>
          <w:i/>
          <w:iCs/>
          <w:snapToGrid w:val="0"/>
          <w:kern w:val="22"/>
          <w:szCs w:val="22"/>
          <w:lang w:val="ru-RU"/>
        </w:rPr>
        <w:t xml:space="preserve"> </w:t>
      </w:r>
      <w:r w:rsidRPr="005A379D">
        <w:rPr>
          <w:iCs/>
          <w:snapToGrid w:val="0"/>
          <w:kern w:val="22"/>
          <w:szCs w:val="22"/>
          <w:lang w:val="ru-RU"/>
        </w:rPr>
        <w:t>правительству Швеции за организацию регионального семинара по содействию описанию экологически или биологически значимых морских районов в северо-восточной части Атлантического океана, правительствам Дании, Франции, Германии и Швеции за оказание семинару финансовой поддержки, а также Конвенции о защите морской среды северо-восточной Атлантики и Комиссии по рыболовству в северо-восточной части Атлантического океана за предоставление ценного научно-технического вклада</w:t>
      </w:r>
      <w:r w:rsidRPr="005A379D">
        <w:rPr>
          <w:snapToGrid w:val="0"/>
          <w:kern w:val="22"/>
          <w:szCs w:val="22"/>
          <w:lang w:val="ru-RU"/>
        </w:rPr>
        <w:t>;</w:t>
      </w:r>
      <w:proofErr w:type="gramEnd"/>
    </w:p>
    <w:p w:rsidR="004A39AD" w:rsidRPr="005A379D" w:rsidRDefault="004A39AD" w:rsidP="004A39AD">
      <w:pPr>
        <w:suppressLineNumbers/>
        <w:suppressAutoHyphens/>
        <w:kinsoku w:val="0"/>
        <w:overflowPunct w:val="0"/>
        <w:autoSpaceDE w:val="0"/>
        <w:autoSpaceDN w:val="0"/>
        <w:spacing w:before="120" w:after="120"/>
        <w:ind w:firstLine="709"/>
        <w:rPr>
          <w:snapToGrid w:val="0"/>
          <w:kern w:val="22"/>
          <w:szCs w:val="22"/>
          <w:lang w:val="ru-RU"/>
        </w:rPr>
      </w:pPr>
      <w:r w:rsidRPr="005A379D">
        <w:rPr>
          <w:snapToGrid w:val="0"/>
          <w:kern w:val="22"/>
          <w:szCs w:val="22"/>
          <w:lang w:val="ru-RU"/>
        </w:rPr>
        <w:t>4.</w:t>
      </w:r>
      <w:r w:rsidRPr="005A379D">
        <w:rPr>
          <w:snapToGrid w:val="0"/>
          <w:kern w:val="22"/>
          <w:szCs w:val="22"/>
          <w:lang w:val="ru-RU"/>
        </w:rPr>
        <w:tab/>
      </w:r>
      <w:r>
        <w:rPr>
          <w:i/>
          <w:snapToGrid w:val="0"/>
          <w:kern w:val="22"/>
          <w:szCs w:val="22"/>
          <w:lang w:val="ru-RU"/>
        </w:rPr>
        <w:t>приветствует</w:t>
      </w:r>
      <w:r w:rsidRPr="005A379D">
        <w:rPr>
          <w:snapToGrid w:val="0"/>
          <w:kern w:val="22"/>
          <w:szCs w:val="22"/>
          <w:lang w:val="ru-RU"/>
        </w:rPr>
        <w:t xml:space="preserve"> сводные доклады, подготовленные Вспомогательным органом по научным, техническим и технологическим консультациям на его 23-м совещании, которые представлены в приложении к настоящему решени</w:t>
      </w:r>
      <w:r w:rsidR="00682FA0">
        <w:rPr>
          <w:snapToGrid w:val="0"/>
          <w:kern w:val="22"/>
          <w:szCs w:val="22"/>
          <w:lang w:val="ru-RU"/>
        </w:rPr>
        <w:t>ю</w:t>
      </w:r>
      <w:r w:rsidRPr="005A379D">
        <w:rPr>
          <w:snapToGrid w:val="0"/>
          <w:kern w:val="22"/>
          <w:szCs w:val="22"/>
          <w:lang w:val="ru-RU"/>
        </w:rPr>
        <w:t xml:space="preserve"> и основаны на докладе Регионального семинара по содействию описанию экологически или биологически значимых морских районов в северо-восточной части Атлантического океана</w:t>
      </w:r>
      <w:r w:rsidRPr="00A73566">
        <w:rPr>
          <w:rStyle w:val="Appelnotedebasdep"/>
          <w:rFonts w:eastAsiaTheme="majorEastAsia"/>
          <w:snapToGrid w:val="0"/>
          <w:kern w:val="22"/>
          <w:szCs w:val="22"/>
        </w:rPr>
        <w:footnoteReference w:id="2"/>
      </w:r>
      <w:r>
        <w:rPr>
          <w:snapToGrid w:val="0"/>
          <w:kern w:val="22"/>
          <w:szCs w:val="22"/>
          <w:lang w:val="ru-RU"/>
        </w:rPr>
        <w:t>;</w:t>
      </w:r>
    </w:p>
    <w:p w:rsidR="004A39AD" w:rsidRDefault="004A39AD" w:rsidP="004A39AD">
      <w:pPr>
        <w:suppressLineNumbers/>
        <w:suppressAutoHyphens/>
        <w:spacing w:before="120" w:after="120"/>
        <w:ind w:firstLine="720"/>
        <w:rPr>
          <w:snapToGrid w:val="0"/>
          <w:lang w:val="ru-RU"/>
        </w:rPr>
      </w:pPr>
      <w:r w:rsidRPr="005A379D">
        <w:rPr>
          <w:iCs/>
          <w:snapToGrid w:val="0"/>
          <w:szCs w:val="22"/>
          <w:shd w:val="clear" w:color="auto" w:fill="FFFFFF"/>
          <w:lang w:val="ru-RU"/>
        </w:rPr>
        <w:t>5.</w:t>
      </w:r>
      <w:r w:rsidRPr="005A379D">
        <w:rPr>
          <w:iCs/>
          <w:snapToGrid w:val="0"/>
          <w:szCs w:val="22"/>
          <w:shd w:val="clear" w:color="auto" w:fill="FFFFFF"/>
          <w:lang w:val="ru-RU"/>
        </w:rPr>
        <w:tab/>
      </w:r>
      <w:r>
        <w:rPr>
          <w:i/>
          <w:snapToGrid w:val="0"/>
          <w:szCs w:val="22"/>
          <w:shd w:val="clear" w:color="auto" w:fill="FFFFFF"/>
          <w:lang w:val="ru-RU"/>
        </w:rPr>
        <w:t>поручает</w:t>
      </w:r>
      <w:r w:rsidRPr="005A379D">
        <w:rPr>
          <w:snapToGrid w:val="0"/>
          <w:szCs w:val="22"/>
          <w:lang w:val="ru-RU"/>
        </w:rPr>
        <w:t xml:space="preserve"> Исполнительному секретарю включить сводные доклады в хранилище данных о ЭБЗР и представить их Генеральной Ассамблее Организации Объединенных Наций и ее соответствующим процессам, а также Сторонам, другим правительствам и соответствующим международным организациям в соответствии с целью и процедурами, изложенными в решениях </w:t>
      </w:r>
      <w:hyperlink r:id="rId15" w:history="1">
        <w:r w:rsidRPr="005A379D">
          <w:rPr>
            <w:rStyle w:val="Lienhypertexte"/>
            <w:snapToGrid w:val="0"/>
            <w:sz w:val="22"/>
            <w:szCs w:val="22"/>
            <w:lang w:val="ru-RU"/>
          </w:rPr>
          <w:t>X/29</w:t>
        </w:r>
      </w:hyperlink>
      <w:r w:rsidRPr="005A379D">
        <w:rPr>
          <w:snapToGrid w:val="0"/>
          <w:szCs w:val="22"/>
          <w:lang w:val="ru-RU"/>
        </w:rPr>
        <w:t xml:space="preserve">, </w:t>
      </w:r>
      <w:hyperlink r:id="rId16" w:history="1">
        <w:r w:rsidRPr="005A379D">
          <w:rPr>
            <w:rStyle w:val="Lienhypertexte"/>
            <w:snapToGrid w:val="0"/>
            <w:sz w:val="22"/>
            <w:szCs w:val="22"/>
            <w:lang w:val="ru-RU"/>
          </w:rPr>
          <w:t>XI/17</w:t>
        </w:r>
      </w:hyperlink>
      <w:r w:rsidRPr="005A379D">
        <w:rPr>
          <w:snapToGrid w:val="0"/>
          <w:szCs w:val="22"/>
          <w:lang w:val="ru-RU"/>
        </w:rPr>
        <w:t xml:space="preserve">, </w:t>
      </w:r>
      <w:hyperlink r:id="rId17" w:history="1">
        <w:r w:rsidRPr="005A379D">
          <w:rPr>
            <w:rStyle w:val="Lienhypertexte"/>
            <w:snapToGrid w:val="0"/>
            <w:sz w:val="22"/>
            <w:szCs w:val="22"/>
            <w:lang w:val="ru-RU"/>
          </w:rPr>
          <w:t>XII/22</w:t>
        </w:r>
      </w:hyperlink>
      <w:r w:rsidRPr="005A379D">
        <w:rPr>
          <w:snapToGrid w:val="0"/>
          <w:szCs w:val="22"/>
          <w:lang w:val="ru-RU"/>
        </w:rPr>
        <w:t xml:space="preserve">, </w:t>
      </w:r>
      <w:hyperlink r:id="rId18" w:history="1">
        <w:r w:rsidRPr="005A379D">
          <w:rPr>
            <w:rStyle w:val="Lienhypertexte"/>
            <w:snapToGrid w:val="0"/>
            <w:sz w:val="22"/>
            <w:szCs w:val="22"/>
            <w:lang w:val="ru-RU"/>
          </w:rPr>
          <w:t>XIII/12</w:t>
        </w:r>
      </w:hyperlink>
      <w:r w:rsidRPr="005A379D">
        <w:rPr>
          <w:snapToGrid w:val="0"/>
          <w:szCs w:val="22"/>
          <w:lang w:val="ru-RU"/>
        </w:rPr>
        <w:t xml:space="preserve"> и </w:t>
      </w:r>
      <w:hyperlink r:id="rId19" w:history="1">
        <w:r w:rsidRPr="005A379D">
          <w:rPr>
            <w:rStyle w:val="Lienhypertexte"/>
            <w:snapToGrid w:val="0"/>
            <w:sz w:val="22"/>
            <w:szCs w:val="22"/>
            <w:lang w:val="ru-RU"/>
          </w:rPr>
          <w:t>14/9</w:t>
        </w:r>
      </w:hyperlink>
      <w:r w:rsidRPr="005A379D">
        <w:rPr>
          <w:snapToGrid w:val="0"/>
          <w:lang w:val="ru-RU"/>
        </w:rPr>
        <w:t>.</w:t>
      </w:r>
    </w:p>
    <w:p w:rsidR="004A39AD" w:rsidRPr="005A379D" w:rsidRDefault="004A39AD" w:rsidP="004A39AD">
      <w:pPr>
        <w:suppressLineNumbers/>
        <w:suppressAutoHyphens/>
        <w:spacing w:before="120" w:after="120"/>
        <w:ind w:firstLine="720"/>
        <w:rPr>
          <w:snapToGrid w:val="0"/>
          <w:lang w:val="ru-RU"/>
        </w:rPr>
        <w:sectPr w:rsidR="004A39AD" w:rsidRPr="005A379D" w:rsidSect="00E4796E">
          <w:headerReference w:type="even" r:id="rId20"/>
          <w:headerReference w:type="first" r:id="rId21"/>
          <w:pgSz w:w="12240" w:h="15840"/>
          <w:pgMar w:top="567" w:right="1389" w:bottom="1134" w:left="1389" w:header="709" w:footer="709" w:gutter="0"/>
          <w:cols w:space="708"/>
          <w:docGrid w:linePitch="360"/>
        </w:sectPr>
      </w:pPr>
    </w:p>
    <w:p w:rsidR="004A39AD" w:rsidRPr="005A379D" w:rsidRDefault="004A39AD" w:rsidP="004A39AD">
      <w:pPr>
        <w:rPr>
          <w:szCs w:val="22"/>
          <w:lang w:val="ru-RU"/>
        </w:rPr>
        <w:sectPr w:rsidR="004A39AD" w:rsidRPr="005A379D" w:rsidSect="006514DB">
          <w:type w:val="continuous"/>
          <w:pgSz w:w="12240" w:h="15840"/>
          <w:pgMar w:top="567" w:right="1389" w:bottom="1134" w:left="1389" w:header="709" w:footer="709" w:gutter="0"/>
          <w:cols w:space="708"/>
          <w:docGrid w:linePitch="360"/>
        </w:sectPr>
      </w:pPr>
    </w:p>
    <w:p w:rsidR="004A39AD" w:rsidRPr="008A5FD1" w:rsidRDefault="004A39AD" w:rsidP="004A39AD">
      <w:pPr>
        <w:pStyle w:val="Para1"/>
        <w:numPr>
          <w:ilvl w:val="0"/>
          <w:numId w:val="0"/>
        </w:numPr>
        <w:suppressLineNumbers/>
        <w:suppressAutoHyphens/>
        <w:kinsoku w:val="0"/>
        <w:overflowPunct w:val="0"/>
        <w:autoSpaceDE w:val="0"/>
        <w:autoSpaceDN w:val="0"/>
        <w:jc w:val="center"/>
        <w:rPr>
          <w:i/>
          <w:iCs/>
          <w:kern w:val="22"/>
          <w:szCs w:val="22"/>
          <w:lang w:val="ru-RU" w:eastAsia="en-GB"/>
        </w:rPr>
      </w:pPr>
      <w:r w:rsidRPr="008A5FD1">
        <w:rPr>
          <w:i/>
          <w:iCs/>
          <w:kern w:val="22"/>
          <w:szCs w:val="22"/>
          <w:lang w:val="ru-RU" w:eastAsia="en-GB"/>
        </w:rPr>
        <w:lastRenderedPageBreak/>
        <w:t>Добавление</w:t>
      </w:r>
    </w:p>
    <w:p w:rsidR="004A39AD" w:rsidRPr="008A5FD1" w:rsidRDefault="004A39AD" w:rsidP="004A39AD">
      <w:pPr>
        <w:pStyle w:val="Para1"/>
        <w:numPr>
          <w:ilvl w:val="0"/>
          <w:numId w:val="0"/>
        </w:numPr>
        <w:suppressLineNumbers/>
        <w:suppressAutoHyphens/>
        <w:kinsoku w:val="0"/>
        <w:overflowPunct w:val="0"/>
        <w:autoSpaceDE w:val="0"/>
        <w:autoSpaceDN w:val="0"/>
        <w:ind w:left="360"/>
        <w:jc w:val="center"/>
        <w:rPr>
          <w:b/>
          <w:bCs/>
          <w:kern w:val="22"/>
          <w:szCs w:val="22"/>
          <w:lang w:val="ru-RU" w:eastAsia="en-GB"/>
        </w:rPr>
      </w:pPr>
      <w:r w:rsidRPr="008A5FD1">
        <w:rPr>
          <w:b/>
          <w:bCs/>
          <w:kern w:val="22"/>
          <w:szCs w:val="22"/>
          <w:lang w:val="ru-RU" w:eastAsia="en-GB"/>
        </w:rPr>
        <w:t>ИТОГИ РЕГИОНАЛЬНОГО СЕМИНАРА ПО СОДЕЙСТВИЮ ОПИСАНИЮ ЭКОЛОГИЧЕСКИ ИЛИ БИОЛОГИЧЕСКИ ЗНАЧИМЫХ МОРСКИХ РАЙОНОВ В СЕВЕРО-ВОСТОЧНОЙ ЧАСТИ АТЛАНТИЧЕСКОГО ОКЕАНА И ПРИЛЕГАЮЩИХ ТЕРРИТОРИЙ</w:t>
      </w:r>
    </w:p>
    <w:p w:rsidR="004A39AD" w:rsidRPr="008A5FD1" w:rsidRDefault="004A39AD" w:rsidP="004A39AD">
      <w:pPr>
        <w:pStyle w:val="Para1"/>
        <w:numPr>
          <w:ilvl w:val="0"/>
          <w:numId w:val="0"/>
        </w:numPr>
        <w:suppressLineNumbers/>
        <w:suppressAutoHyphens/>
        <w:kinsoku w:val="0"/>
        <w:overflowPunct w:val="0"/>
        <w:autoSpaceDE w:val="0"/>
        <w:autoSpaceDN w:val="0"/>
        <w:ind w:left="360"/>
        <w:jc w:val="center"/>
        <w:rPr>
          <w:b/>
          <w:bCs/>
          <w:kern w:val="22"/>
          <w:szCs w:val="22"/>
          <w:lang w:val="ru-RU" w:eastAsia="en-GB"/>
        </w:rPr>
      </w:pPr>
      <w:r w:rsidRPr="008A5FD1">
        <w:rPr>
          <w:b/>
          <w:bCs/>
          <w:kern w:val="22"/>
          <w:szCs w:val="22"/>
          <w:lang w:val="ru-RU" w:eastAsia="en-GB"/>
        </w:rPr>
        <w:t>ОБЩИЕ СВЕДЕНИЯ</w:t>
      </w:r>
    </w:p>
    <w:p w:rsidR="004A39AD" w:rsidRPr="008A5FD1" w:rsidRDefault="004A39AD" w:rsidP="004A39AD">
      <w:pPr>
        <w:pStyle w:val="Para1"/>
        <w:numPr>
          <w:ilvl w:val="0"/>
          <w:numId w:val="0"/>
        </w:numPr>
        <w:suppressLineNumbers/>
        <w:tabs>
          <w:tab w:val="left" w:pos="993"/>
        </w:tabs>
        <w:suppressAutoHyphens/>
        <w:kinsoku w:val="0"/>
        <w:overflowPunct w:val="0"/>
        <w:autoSpaceDE w:val="0"/>
        <w:autoSpaceDN w:val="0"/>
        <w:ind w:left="360"/>
        <w:rPr>
          <w:kern w:val="22"/>
          <w:szCs w:val="22"/>
          <w:lang w:val="ru-RU"/>
        </w:rPr>
      </w:pPr>
      <w:r w:rsidRPr="008A5FD1">
        <w:rPr>
          <w:kern w:val="22"/>
          <w:szCs w:val="22"/>
          <w:lang w:val="ru-RU" w:eastAsia="en-GB"/>
        </w:rPr>
        <w:t>1.</w:t>
      </w:r>
      <w:r w:rsidRPr="008A5FD1">
        <w:rPr>
          <w:kern w:val="22"/>
          <w:szCs w:val="22"/>
          <w:lang w:val="ru-RU" w:eastAsia="en-GB"/>
        </w:rPr>
        <w:tab/>
      </w:r>
      <w:proofErr w:type="gramStart"/>
      <w:r w:rsidRPr="008A5FD1">
        <w:rPr>
          <w:kern w:val="22"/>
          <w:szCs w:val="22"/>
          <w:lang w:val="ru-RU" w:eastAsia="en-GB"/>
        </w:rPr>
        <w:t xml:space="preserve">В соответствии с пунктом 36 решения </w:t>
      </w:r>
      <w:hyperlink r:id="rId22" w:history="1">
        <w:r w:rsidRPr="008A5FD1">
          <w:rPr>
            <w:rStyle w:val="Lienhypertexte"/>
            <w:kern w:val="22"/>
            <w:sz w:val="22"/>
            <w:szCs w:val="22"/>
            <w:lang w:eastAsia="en-GB"/>
          </w:rPr>
          <w:t>X</w:t>
        </w:r>
        <w:r w:rsidRPr="008A5FD1">
          <w:rPr>
            <w:rStyle w:val="Lienhypertexte"/>
            <w:kern w:val="22"/>
            <w:sz w:val="22"/>
            <w:szCs w:val="22"/>
            <w:lang w:val="ru-RU" w:eastAsia="en-GB"/>
          </w:rPr>
          <w:t>/29</w:t>
        </w:r>
      </w:hyperlink>
      <w:r w:rsidRPr="008A5FD1">
        <w:rPr>
          <w:kern w:val="22"/>
          <w:szCs w:val="22"/>
          <w:lang w:val="ru-RU" w:eastAsia="en-GB"/>
        </w:rPr>
        <w:t xml:space="preserve">, пунктом 12 решения </w:t>
      </w:r>
      <w:hyperlink r:id="rId23" w:history="1">
        <w:r w:rsidRPr="008A5FD1">
          <w:rPr>
            <w:rStyle w:val="Lienhypertexte"/>
            <w:kern w:val="22"/>
            <w:sz w:val="22"/>
            <w:szCs w:val="22"/>
            <w:lang w:eastAsia="en-GB"/>
          </w:rPr>
          <w:t>XI</w:t>
        </w:r>
        <w:r w:rsidRPr="008A5FD1">
          <w:rPr>
            <w:rStyle w:val="Lienhypertexte"/>
            <w:kern w:val="22"/>
            <w:sz w:val="22"/>
            <w:szCs w:val="22"/>
            <w:lang w:val="ru-RU" w:eastAsia="en-GB"/>
          </w:rPr>
          <w:t>/17</w:t>
        </w:r>
      </w:hyperlink>
      <w:r w:rsidRPr="008A5FD1">
        <w:rPr>
          <w:kern w:val="22"/>
          <w:szCs w:val="22"/>
          <w:lang w:val="ru-RU" w:eastAsia="en-GB"/>
        </w:rPr>
        <w:t>, пунктом 6</w:t>
      </w:r>
      <w:r w:rsidRPr="008A5FD1">
        <w:rPr>
          <w:kern w:val="22"/>
          <w:szCs w:val="22"/>
          <w:lang w:val="ru-RU" w:eastAsia="en-GB"/>
        </w:rPr>
        <w:br/>
        <w:t xml:space="preserve">решения </w:t>
      </w:r>
      <w:hyperlink r:id="rId24" w:history="1">
        <w:r w:rsidRPr="008A5FD1">
          <w:rPr>
            <w:rStyle w:val="Lienhypertexte"/>
            <w:kern w:val="22"/>
            <w:sz w:val="22"/>
            <w:szCs w:val="22"/>
            <w:lang w:eastAsia="en-GB"/>
          </w:rPr>
          <w:t>XII</w:t>
        </w:r>
        <w:r w:rsidRPr="008A5FD1">
          <w:rPr>
            <w:rStyle w:val="Lienhypertexte"/>
            <w:kern w:val="22"/>
            <w:sz w:val="22"/>
            <w:szCs w:val="22"/>
            <w:lang w:val="ru-RU" w:eastAsia="en-GB"/>
          </w:rPr>
          <w:t>/22</w:t>
        </w:r>
      </w:hyperlink>
      <w:r w:rsidRPr="008A5FD1">
        <w:rPr>
          <w:kern w:val="22"/>
          <w:szCs w:val="22"/>
          <w:lang w:val="ru-RU" w:eastAsia="en-GB"/>
        </w:rPr>
        <w:t xml:space="preserve">, пунктом 8 решения </w:t>
      </w:r>
      <w:hyperlink r:id="rId25" w:history="1">
        <w:r w:rsidRPr="008A5FD1">
          <w:rPr>
            <w:rStyle w:val="Lienhypertexte"/>
            <w:kern w:val="22"/>
            <w:sz w:val="22"/>
            <w:szCs w:val="22"/>
            <w:lang w:eastAsia="en-GB"/>
          </w:rPr>
          <w:t>XIII</w:t>
        </w:r>
        <w:r w:rsidRPr="008A5FD1">
          <w:rPr>
            <w:rStyle w:val="Lienhypertexte"/>
            <w:kern w:val="22"/>
            <w:sz w:val="22"/>
            <w:szCs w:val="22"/>
            <w:lang w:val="ru-RU" w:eastAsia="en-GB"/>
          </w:rPr>
          <w:t>/12</w:t>
        </w:r>
      </w:hyperlink>
      <w:r w:rsidRPr="008A5FD1">
        <w:rPr>
          <w:kern w:val="22"/>
          <w:szCs w:val="22"/>
          <w:lang w:val="ru-RU" w:eastAsia="en-GB"/>
        </w:rPr>
        <w:t xml:space="preserve"> и пунктом 4 решения </w:t>
      </w:r>
      <w:hyperlink r:id="rId26" w:history="1">
        <w:r w:rsidRPr="008A5FD1">
          <w:rPr>
            <w:rStyle w:val="Lienhypertexte"/>
            <w:kern w:val="22"/>
            <w:sz w:val="22"/>
            <w:szCs w:val="22"/>
            <w:lang w:val="ru-RU" w:eastAsia="en-GB"/>
          </w:rPr>
          <w:t>14/9</w:t>
        </w:r>
      </w:hyperlink>
      <w:r w:rsidRPr="008A5FD1">
        <w:rPr>
          <w:kern w:val="22"/>
          <w:szCs w:val="22"/>
          <w:lang w:val="ru-RU" w:eastAsia="en-GB"/>
        </w:rPr>
        <w:t xml:space="preserve"> Исполнительным секретарем Конвенции о биологическом разнообразии был проведен региональный семинар по содействию описанию экологически или биологически значимых морских районов (ЭБЗР) в северо-восточной части Атлантического океана (Стокгольм, 23-27 сентября 2019 года)</w:t>
      </w:r>
      <w:r w:rsidRPr="008A5FD1">
        <w:rPr>
          <w:rStyle w:val="Appelnotedebasdep"/>
          <w:kern w:val="22"/>
          <w:szCs w:val="22"/>
          <w:lang w:eastAsia="en-GB"/>
        </w:rPr>
        <w:footnoteReference w:id="3"/>
      </w:r>
      <w:r w:rsidRPr="008A5FD1">
        <w:rPr>
          <w:kern w:val="22"/>
          <w:szCs w:val="22"/>
          <w:lang w:val="ru-RU" w:eastAsia="en-GB"/>
        </w:rPr>
        <w:t>.</w:t>
      </w:r>
      <w:proofErr w:type="gramEnd"/>
    </w:p>
    <w:p w:rsidR="004A39AD" w:rsidRPr="008A5FD1" w:rsidRDefault="004A39AD" w:rsidP="004A39AD">
      <w:pPr>
        <w:pStyle w:val="Para1"/>
        <w:numPr>
          <w:ilvl w:val="0"/>
          <w:numId w:val="0"/>
        </w:numPr>
        <w:suppressLineNumbers/>
        <w:tabs>
          <w:tab w:val="left" w:pos="993"/>
        </w:tabs>
        <w:suppressAutoHyphens/>
        <w:kinsoku w:val="0"/>
        <w:overflowPunct w:val="0"/>
        <w:autoSpaceDE w:val="0"/>
        <w:autoSpaceDN w:val="0"/>
        <w:ind w:left="360"/>
        <w:rPr>
          <w:kern w:val="22"/>
          <w:szCs w:val="22"/>
          <w:lang w:val="ru-RU"/>
        </w:rPr>
      </w:pPr>
      <w:r w:rsidRPr="008A5FD1">
        <w:rPr>
          <w:kern w:val="22"/>
          <w:szCs w:val="22"/>
          <w:lang w:val="ru-RU"/>
        </w:rPr>
        <w:t>2.</w:t>
      </w:r>
      <w:r w:rsidRPr="008A5FD1">
        <w:rPr>
          <w:kern w:val="22"/>
          <w:szCs w:val="22"/>
          <w:lang w:val="ru-RU"/>
        </w:rPr>
        <w:tab/>
        <w:t xml:space="preserve">Описание морских районов, отвечающих критериям определения экологически или биологически значимых морских районов, не предполагает выражения какого-либо мнения относительно правового статуса любой </w:t>
      </w:r>
      <w:r w:rsidRPr="008A5FD1">
        <w:rPr>
          <w:kern w:val="22"/>
          <w:szCs w:val="22"/>
          <w:lang w:val="ru-RU" w:eastAsia="en-GB"/>
        </w:rPr>
        <w:t>страны</w:t>
      </w:r>
      <w:r w:rsidRPr="008A5FD1">
        <w:rPr>
          <w:kern w:val="22"/>
          <w:szCs w:val="22"/>
          <w:lang w:val="ru-RU"/>
        </w:rPr>
        <w:t>, территории, города или района или их властей или относительно делимитации их границ или рубежей. Оно не имеет также никакого экономического или юридического значения и представляет собой лишь род научно-технической деятельности.</w:t>
      </w:r>
    </w:p>
    <w:p w:rsidR="004A39AD" w:rsidRPr="008A5FD1" w:rsidRDefault="004A39AD" w:rsidP="004A39AD">
      <w:pPr>
        <w:pStyle w:val="Para1"/>
        <w:numPr>
          <w:ilvl w:val="0"/>
          <w:numId w:val="0"/>
        </w:numPr>
        <w:suppressLineNumbers/>
        <w:tabs>
          <w:tab w:val="left" w:pos="993"/>
        </w:tabs>
        <w:suppressAutoHyphens/>
        <w:kinsoku w:val="0"/>
        <w:overflowPunct w:val="0"/>
        <w:autoSpaceDE w:val="0"/>
        <w:autoSpaceDN w:val="0"/>
        <w:ind w:left="360"/>
        <w:rPr>
          <w:kern w:val="22"/>
          <w:szCs w:val="22"/>
          <w:lang w:val="ru-RU"/>
        </w:rPr>
      </w:pPr>
      <w:r w:rsidRPr="008A5FD1">
        <w:rPr>
          <w:kern w:val="22"/>
          <w:szCs w:val="22"/>
          <w:lang w:val="ru-RU"/>
        </w:rPr>
        <w:t>3.</w:t>
      </w:r>
      <w:r w:rsidRPr="008A5FD1">
        <w:rPr>
          <w:kern w:val="22"/>
          <w:szCs w:val="22"/>
          <w:lang w:val="ru-RU"/>
        </w:rPr>
        <w:tab/>
        <w:t xml:space="preserve">В соответствии с пунктом 12 решения </w:t>
      </w:r>
      <w:r w:rsidRPr="008A5FD1">
        <w:rPr>
          <w:kern w:val="22"/>
          <w:szCs w:val="22"/>
        </w:rPr>
        <w:t>XI</w:t>
      </w:r>
      <w:r w:rsidRPr="008A5FD1">
        <w:rPr>
          <w:kern w:val="22"/>
          <w:szCs w:val="22"/>
          <w:lang w:val="ru-RU"/>
        </w:rPr>
        <w:t>/17 резюме результатов данного регионального семинара приведены в таблице 1 ниже, тогда как полное описание соответствия районов критериям ЭБЗР приведено в приложении к докладу о работе семинара.</w:t>
      </w:r>
    </w:p>
    <w:p w:rsidR="004A39AD" w:rsidRPr="008A5FD1" w:rsidRDefault="004A39AD" w:rsidP="004A39AD">
      <w:pPr>
        <w:pStyle w:val="Para1"/>
        <w:numPr>
          <w:ilvl w:val="0"/>
          <w:numId w:val="0"/>
        </w:numPr>
        <w:suppressLineNumbers/>
        <w:tabs>
          <w:tab w:val="left" w:pos="993"/>
        </w:tabs>
        <w:suppressAutoHyphens/>
        <w:kinsoku w:val="0"/>
        <w:overflowPunct w:val="0"/>
        <w:autoSpaceDE w:val="0"/>
        <w:autoSpaceDN w:val="0"/>
        <w:ind w:left="360"/>
        <w:rPr>
          <w:kern w:val="22"/>
          <w:szCs w:val="22"/>
          <w:lang w:val="ru-RU"/>
        </w:rPr>
      </w:pPr>
      <w:r w:rsidRPr="008A5FD1">
        <w:rPr>
          <w:kern w:val="22"/>
          <w:szCs w:val="22"/>
          <w:lang w:val="ru-RU"/>
        </w:rPr>
        <w:t>4.</w:t>
      </w:r>
      <w:r w:rsidRPr="008A5FD1">
        <w:rPr>
          <w:kern w:val="22"/>
          <w:szCs w:val="22"/>
          <w:lang w:val="ru-RU"/>
        </w:rPr>
        <w:tab/>
      </w:r>
      <w:proofErr w:type="gramStart"/>
      <w:r w:rsidRPr="008A5FD1">
        <w:rPr>
          <w:kern w:val="22"/>
          <w:szCs w:val="22"/>
          <w:lang w:val="ru-RU"/>
        </w:rPr>
        <w:t xml:space="preserve">В пункте 26 решения </w:t>
      </w:r>
      <w:r w:rsidRPr="008A5FD1">
        <w:rPr>
          <w:kern w:val="22"/>
          <w:szCs w:val="22"/>
        </w:rPr>
        <w:t>X</w:t>
      </w:r>
      <w:r w:rsidRPr="008A5FD1">
        <w:rPr>
          <w:kern w:val="22"/>
          <w:szCs w:val="22"/>
          <w:lang w:val="ru-RU"/>
        </w:rPr>
        <w:t>/29 Конференция Сторон отметила, что применение критериев ЭБЗР представляет собой род научно-технической деятельности, что в районах, которые, как было выявлено, соответствуют данным критериям, потребуется, возможно, реализация более активных природоохранных и управленческих мер и что достичь этого можно с помощью самых разнообразных средств, включая морское пространственное планирование, создание морских охраняемых районов, другие эффективные меры на порайонной</w:t>
      </w:r>
      <w:proofErr w:type="gramEnd"/>
      <w:r w:rsidRPr="008A5FD1">
        <w:rPr>
          <w:kern w:val="22"/>
          <w:szCs w:val="22"/>
          <w:lang w:val="ru-RU"/>
        </w:rPr>
        <w:t xml:space="preserve"> основе и проведение оценок воздействия. Она также подчеркнула, что выявление ЭБЗР и выбор природоохранных и управленческих мер подпадает, согласно нормам международного права, включая Конвенцию Организации Объединенных Наций по морскому праву, под юрисдикцию государств и компетентных межправительственных организаций</w:t>
      </w:r>
      <w:r w:rsidRPr="008A5FD1">
        <w:rPr>
          <w:rStyle w:val="Appelnotedebasdep"/>
          <w:rFonts w:eastAsiaTheme="majorEastAsia"/>
          <w:kern w:val="22"/>
          <w:szCs w:val="22"/>
        </w:rPr>
        <w:footnoteReference w:id="4"/>
      </w:r>
      <w:r w:rsidRPr="008A5FD1">
        <w:rPr>
          <w:kern w:val="22"/>
          <w:szCs w:val="22"/>
          <w:lang w:val="ru-RU"/>
        </w:rPr>
        <w:t>.</w:t>
      </w:r>
    </w:p>
    <w:tbl>
      <w:tblPr>
        <w:tblW w:w="0" w:type="auto"/>
        <w:tblInd w:w="534" w:type="dxa"/>
        <w:tblBorders>
          <w:insideH w:val="single" w:sz="4" w:space="0" w:color="auto"/>
          <w:insideV w:val="single" w:sz="4" w:space="0" w:color="auto"/>
        </w:tblBorders>
        <w:tblLook w:val="04A0"/>
      </w:tblPr>
      <w:tblGrid>
        <w:gridCol w:w="3094"/>
        <w:gridCol w:w="5834"/>
      </w:tblGrid>
      <w:tr w:rsidR="004A39AD" w:rsidRPr="008A5FD1" w:rsidTr="00940363">
        <w:tc>
          <w:tcPr>
            <w:tcW w:w="3094" w:type="dxa"/>
            <w:tcBorders>
              <w:top w:val="nil"/>
              <w:left w:val="nil"/>
              <w:bottom w:val="nil"/>
              <w:right w:val="single" w:sz="4" w:space="0" w:color="auto"/>
            </w:tcBorders>
          </w:tcPr>
          <w:p w:rsidR="004A39AD" w:rsidRPr="008A5FD1" w:rsidRDefault="004A39AD" w:rsidP="00940363">
            <w:pPr>
              <w:suppressLineNumbers/>
              <w:suppressAutoHyphens/>
              <w:kinsoku w:val="0"/>
              <w:overflowPunct w:val="0"/>
              <w:autoSpaceDE w:val="0"/>
              <w:autoSpaceDN w:val="0"/>
              <w:snapToGrid w:val="0"/>
              <w:spacing w:before="120" w:after="120"/>
              <w:jc w:val="left"/>
              <w:rPr>
                <w:rStyle w:val="Accentuation"/>
                <w:rFonts w:asciiTheme="majorBidi" w:hAnsiTheme="majorBidi" w:cstheme="majorBidi"/>
                <w:snapToGrid w:val="0"/>
                <w:kern w:val="22"/>
                <w:szCs w:val="22"/>
                <w:lang w:val="ru-RU"/>
              </w:rPr>
            </w:pPr>
            <w:r w:rsidRPr="008A5FD1">
              <w:rPr>
                <w:rStyle w:val="Accentuation"/>
                <w:b/>
                <w:szCs w:val="22"/>
                <w:lang w:val="ru-RU"/>
              </w:rPr>
              <w:t>Указатель к таблице</w:t>
            </w:r>
            <w:r w:rsidRPr="008A5FD1">
              <w:rPr>
                <w:rStyle w:val="Accentuation"/>
                <w:rFonts w:asciiTheme="majorBidi" w:hAnsiTheme="majorBidi" w:cstheme="majorBidi"/>
                <w:snapToGrid w:val="0"/>
                <w:kern w:val="22"/>
                <w:szCs w:val="22"/>
                <w:lang w:val="ru-RU"/>
              </w:rPr>
              <w:t xml:space="preserve"> </w:t>
            </w:r>
          </w:p>
          <w:p w:rsidR="004A39AD" w:rsidRPr="008A5FD1" w:rsidRDefault="004A39AD" w:rsidP="00940363">
            <w:pPr>
              <w:suppressLineNumbers/>
              <w:suppressAutoHyphens/>
              <w:kinsoku w:val="0"/>
              <w:overflowPunct w:val="0"/>
              <w:autoSpaceDE w:val="0"/>
              <w:autoSpaceDN w:val="0"/>
              <w:snapToGrid w:val="0"/>
              <w:spacing w:before="120" w:after="120"/>
              <w:jc w:val="left"/>
              <w:rPr>
                <w:rFonts w:asciiTheme="majorBidi" w:eastAsia="MS Mincho" w:hAnsiTheme="majorBidi" w:cstheme="majorBidi"/>
                <w:b/>
                <w:snapToGrid w:val="0"/>
                <w:kern w:val="22"/>
                <w:szCs w:val="22"/>
                <w:lang w:val="ru-RU"/>
              </w:rPr>
            </w:pPr>
            <w:r w:rsidRPr="008A5FD1">
              <w:rPr>
                <w:rFonts w:asciiTheme="majorBidi" w:eastAsia="MS Mincho" w:hAnsiTheme="majorBidi" w:cstheme="majorBidi"/>
                <w:b/>
                <w:snapToGrid w:val="0"/>
                <w:kern w:val="22"/>
                <w:szCs w:val="22"/>
                <w:lang w:val="ru-RU"/>
              </w:rPr>
              <w:t>РАНЖИРОВАНИЕ КРИТЕРИЕВ ЭБЗР</w:t>
            </w:r>
          </w:p>
          <w:p w:rsidR="004A39AD" w:rsidRPr="008A5FD1" w:rsidRDefault="004A39AD" w:rsidP="00940363">
            <w:pPr>
              <w:suppressLineNumbers/>
              <w:suppressAutoHyphens/>
              <w:kinsoku w:val="0"/>
              <w:overflowPunct w:val="0"/>
              <w:autoSpaceDE w:val="0"/>
              <w:autoSpaceDN w:val="0"/>
              <w:snapToGrid w:val="0"/>
              <w:rPr>
                <w:rFonts w:asciiTheme="majorBidi" w:eastAsia="MS Mincho" w:hAnsiTheme="majorBidi" w:cstheme="majorBidi"/>
                <w:b/>
                <w:snapToGrid w:val="0"/>
                <w:kern w:val="22"/>
                <w:szCs w:val="22"/>
                <w:lang w:val="ru-RU"/>
              </w:rPr>
            </w:pPr>
            <w:r w:rsidRPr="008A5FD1">
              <w:rPr>
                <w:rFonts w:asciiTheme="majorBidi" w:eastAsia="MS Mincho" w:hAnsiTheme="majorBidi" w:cstheme="majorBidi"/>
                <w:b/>
                <w:snapToGrid w:val="0"/>
                <w:kern w:val="22"/>
                <w:szCs w:val="22"/>
                <w:lang w:val="ru-RU"/>
              </w:rPr>
              <w:t>Значимость</w:t>
            </w:r>
          </w:p>
          <w:p w:rsidR="004A39AD" w:rsidRPr="008A5FD1" w:rsidRDefault="004A39AD" w:rsidP="00940363">
            <w:pPr>
              <w:suppressLineNumbers/>
              <w:tabs>
                <w:tab w:val="left" w:pos="836"/>
              </w:tabs>
              <w:suppressAutoHyphens/>
              <w:kinsoku w:val="0"/>
              <w:overflowPunct w:val="0"/>
              <w:autoSpaceDE w:val="0"/>
              <w:autoSpaceDN w:val="0"/>
              <w:snapToGrid w:val="0"/>
              <w:ind w:left="426"/>
              <w:rPr>
                <w:rFonts w:asciiTheme="majorBidi" w:eastAsia="MS Mincho" w:hAnsiTheme="majorBidi" w:cstheme="majorBidi"/>
                <w:b/>
                <w:snapToGrid w:val="0"/>
                <w:kern w:val="22"/>
                <w:szCs w:val="22"/>
                <w:lang w:val="ru-RU"/>
              </w:rPr>
            </w:pPr>
            <w:r w:rsidRPr="008A5FD1">
              <w:rPr>
                <w:rFonts w:asciiTheme="majorBidi" w:eastAsia="MS Mincho" w:hAnsiTheme="majorBidi" w:cstheme="majorBidi"/>
                <w:b/>
                <w:snapToGrid w:val="0"/>
                <w:kern w:val="22"/>
                <w:szCs w:val="22"/>
                <w:lang w:val="ru-RU"/>
              </w:rPr>
              <w:t>H:</w:t>
            </w:r>
            <w:r w:rsidRPr="008A5FD1">
              <w:rPr>
                <w:rFonts w:asciiTheme="majorBidi" w:eastAsia="MS Mincho" w:hAnsiTheme="majorBidi" w:cstheme="majorBidi"/>
                <w:b/>
                <w:snapToGrid w:val="0"/>
                <w:kern w:val="22"/>
                <w:szCs w:val="22"/>
                <w:lang w:val="ru-RU"/>
              </w:rPr>
              <w:tab/>
              <w:t>Высокий</w:t>
            </w:r>
          </w:p>
          <w:p w:rsidR="004A39AD" w:rsidRPr="008A5FD1" w:rsidRDefault="004A39AD" w:rsidP="00940363">
            <w:pPr>
              <w:suppressLineNumbers/>
              <w:tabs>
                <w:tab w:val="left" w:pos="836"/>
              </w:tabs>
              <w:suppressAutoHyphens/>
              <w:kinsoku w:val="0"/>
              <w:overflowPunct w:val="0"/>
              <w:autoSpaceDE w:val="0"/>
              <w:autoSpaceDN w:val="0"/>
              <w:snapToGrid w:val="0"/>
              <w:ind w:left="426"/>
              <w:rPr>
                <w:rFonts w:asciiTheme="majorBidi" w:eastAsia="MS Mincho" w:hAnsiTheme="majorBidi" w:cstheme="majorBidi"/>
                <w:b/>
                <w:snapToGrid w:val="0"/>
                <w:kern w:val="22"/>
                <w:szCs w:val="22"/>
                <w:lang w:val="ru-RU"/>
              </w:rPr>
            </w:pPr>
            <w:r w:rsidRPr="008A5FD1">
              <w:rPr>
                <w:rFonts w:asciiTheme="majorBidi" w:eastAsia="MS Mincho" w:hAnsiTheme="majorBidi" w:cstheme="majorBidi"/>
                <w:b/>
                <w:snapToGrid w:val="0"/>
                <w:kern w:val="22"/>
                <w:szCs w:val="22"/>
                <w:lang w:val="ru-RU"/>
              </w:rPr>
              <w:t>M:</w:t>
            </w:r>
            <w:r w:rsidRPr="008A5FD1">
              <w:rPr>
                <w:rFonts w:asciiTheme="majorBidi" w:eastAsia="MS Mincho" w:hAnsiTheme="majorBidi" w:cstheme="majorBidi"/>
                <w:b/>
                <w:snapToGrid w:val="0"/>
                <w:kern w:val="22"/>
                <w:szCs w:val="22"/>
                <w:lang w:val="ru-RU"/>
              </w:rPr>
              <w:tab/>
              <w:t>Средний</w:t>
            </w:r>
          </w:p>
          <w:p w:rsidR="004A39AD" w:rsidRPr="008A5FD1" w:rsidRDefault="004A39AD" w:rsidP="00940363">
            <w:pPr>
              <w:suppressLineNumbers/>
              <w:tabs>
                <w:tab w:val="left" w:pos="836"/>
              </w:tabs>
              <w:suppressAutoHyphens/>
              <w:kinsoku w:val="0"/>
              <w:overflowPunct w:val="0"/>
              <w:autoSpaceDE w:val="0"/>
              <w:autoSpaceDN w:val="0"/>
              <w:snapToGrid w:val="0"/>
              <w:ind w:left="426"/>
              <w:rPr>
                <w:rFonts w:asciiTheme="majorBidi" w:eastAsia="MS Mincho" w:hAnsiTheme="majorBidi" w:cstheme="majorBidi"/>
                <w:b/>
                <w:snapToGrid w:val="0"/>
                <w:kern w:val="22"/>
                <w:szCs w:val="22"/>
                <w:lang w:val="ru-RU"/>
              </w:rPr>
            </w:pPr>
            <w:r w:rsidRPr="008A5FD1">
              <w:rPr>
                <w:rFonts w:asciiTheme="majorBidi" w:eastAsia="MS Mincho" w:hAnsiTheme="majorBidi" w:cstheme="majorBidi"/>
                <w:b/>
                <w:snapToGrid w:val="0"/>
                <w:kern w:val="22"/>
                <w:szCs w:val="22"/>
                <w:lang w:val="ru-RU"/>
              </w:rPr>
              <w:t>L:</w:t>
            </w:r>
            <w:r w:rsidRPr="008A5FD1">
              <w:rPr>
                <w:rFonts w:asciiTheme="majorBidi" w:eastAsia="MS Mincho" w:hAnsiTheme="majorBidi" w:cstheme="majorBidi"/>
                <w:b/>
                <w:snapToGrid w:val="0"/>
                <w:kern w:val="22"/>
                <w:szCs w:val="22"/>
                <w:lang w:val="ru-RU"/>
              </w:rPr>
              <w:tab/>
              <w:t>Низкий</w:t>
            </w:r>
          </w:p>
          <w:p w:rsidR="004A39AD" w:rsidRPr="008A5FD1" w:rsidRDefault="004A39AD" w:rsidP="00940363">
            <w:pPr>
              <w:suppressLineNumbers/>
              <w:tabs>
                <w:tab w:val="left" w:pos="836"/>
              </w:tabs>
              <w:suppressAutoHyphens/>
              <w:kinsoku w:val="0"/>
              <w:overflowPunct w:val="0"/>
              <w:autoSpaceDE w:val="0"/>
              <w:autoSpaceDN w:val="0"/>
              <w:snapToGrid w:val="0"/>
              <w:spacing w:after="120"/>
              <w:ind w:left="884" w:hanging="459"/>
              <w:rPr>
                <w:rFonts w:asciiTheme="majorBidi" w:eastAsia="MS Mincho" w:hAnsiTheme="majorBidi" w:cstheme="majorBidi"/>
                <w:b/>
                <w:snapToGrid w:val="0"/>
                <w:kern w:val="22"/>
                <w:szCs w:val="22"/>
                <w:lang w:val="ru-RU"/>
              </w:rPr>
            </w:pPr>
            <w:r w:rsidRPr="008A5FD1">
              <w:rPr>
                <w:rFonts w:asciiTheme="majorBidi" w:eastAsia="MS Mincho" w:hAnsiTheme="majorBidi" w:cstheme="majorBidi"/>
                <w:b/>
                <w:snapToGrid w:val="0"/>
                <w:kern w:val="22"/>
                <w:szCs w:val="22"/>
                <w:lang w:val="ru-RU"/>
              </w:rPr>
              <w:t>-:</w:t>
            </w:r>
            <w:r w:rsidRPr="008A5FD1">
              <w:rPr>
                <w:rFonts w:asciiTheme="majorBidi" w:eastAsia="MS Mincho" w:hAnsiTheme="majorBidi" w:cstheme="majorBidi"/>
                <w:b/>
                <w:snapToGrid w:val="0"/>
                <w:kern w:val="22"/>
                <w:szCs w:val="22"/>
                <w:lang w:val="ru-RU"/>
              </w:rPr>
              <w:tab/>
              <w:t>Информация отсутствует</w:t>
            </w:r>
          </w:p>
          <w:p w:rsidR="004A39AD" w:rsidRPr="008A5FD1" w:rsidRDefault="004A39AD" w:rsidP="00940363">
            <w:pPr>
              <w:suppressLineNumbers/>
              <w:suppressAutoHyphens/>
              <w:kinsoku w:val="0"/>
              <w:overflowPunct w:val="0"/>
              <w:autoSpaceDE w:val="0"/>
              <w:autoSpaceDN w:val="0"/>
              <w:snapToGrid w:val="0"/>
              <w:ind w:left="360"/>
              <w:rPr>
                <w:rFonts w:asciiTheme="majorBidi" w:hAnsiTheme="majorBidi" w:cstheme="majorBidi"/>
                <w:b/>
                <w:snapToGrid w:val="0"/>
                <w:kern w:val="22"/>
                <w:szCs w:val="22"/>
              </w:rPr>
            </w:pPr>
          </w:p>
        </w:tc>
        <w:tc>
          <w:tcPr>
            <w:tcW w:w="5834" w:type="dxa"/>
            <w:tcBorders>
              <w:top w:val="nil"/>
              <w:left w:val="single" w:sz="4" w:space="0" w:color="auto"/>
              <w:bottom w:val="nil"/>
              <w:right w:val="nil"/>
            </w:tcBorders>
            <w:hideMark/>
          </w:tcPr>
          <w:p w:rsidR="004A39AD" w:rsidRPr="008A5FD1" w:rsidRDefault="004A39AD" w:rsidP="00940363">
            <w:pPr>
              <w:suppressLineNumbers/>
              <w:suppressAutoHyphens/>
              <w:kinsoku w:val="0"/>
              <w:overflowPunct w:val="0"/>
              <w:autoSpaceDE w:val="0"/>
              <w:autoSpaceDN w:val="0"/>
              <w:snapToGrid w:val="0"/>
              <w:spacing w:before="120" w:after="120"/>
              <w:rPr>
                <w:rFonts w:asciiTheme="majorBidi" w:eastAsia="MS Mincho" w:hAnsiTheme="majorBidi" w:cstheme="majorBidi"/>
                <w:b/>
                <w:snapToGrid w:val="0"/>
                <w:kern w:val="22"/>
                <w:szCs w:val="22"/>
                <w:lang w:val="ru-RU"/>
              </w:rPr>
            </w:pPr>
          </w:p>
          <w:p w:rsidR="004A39AD" w:rsidRPr="008A5FD1" w:rsidRDefault="004A39AD" w:rsidP="00940363">
            <w:pPr>
              <w:suppressLineNumbers/>
              <w:suppressAutoHyphens/>
              <w:kinsoku w:val="0"/>
              <w:overflowPunct w:val="0"/>
              <w:autoSpaceDE w:val="0"/>
              <w:autoSpaceDN w:val="0"/>
              <w:snapToGrid w:val="0"/>
              <w:spacing w:before="120" w:after="120"/>
              <w:rPr>
                <w:rFonts w:asciiTheme="majorBidi" w:eastAsia="MS Mincho" w:hAnsiTheme="majorBidi" w:cstheme="majorBidi"/>
                <w:b/>
                <w:snapToGrid w:val="0"/>
                <w:kern w:val="22"/>
                <w:szCs w:val="22"/>
                <w:lang w:val="ru-RU"/>
              </w:rPr>
            </w:pPr>
            <w:r w:rsidRPr="008A5FD1">
              <w:rPr>
                <w:rFonts w:asciiTheme="majorBidi" w:eastAsia="MS Mincho" w:hAnsiTheme="majorBidi" w:cstheme="majorBidi"/>
                <w:b/>
                <w:snapToGrid w:val="0"/>
                <w:kern w:val="22"/>
                <w:szCs w:val="22"/>
                <w:lang w:val="ru-RU"/>
              </w:rPr>
              <w:t>КРИТЕРИИ</w:t>
            </w:r>
          </w:p>
          <w:p w:rsidR="004A39AD" w:rsidRPr="008A5FD1" w:rsidRDefault="004A39AD" w:rsidP="004A39AD">
            <w:pPr>
              <w:numPr>
                <w:ilvl w:val="0"/>
                <w:numId w:val="21"/>
              </w:numPr>
              <w:suppressLineNumbers/>
              <w:suppressAutoHyphens/>
              <w:kinsoku w:val="0"/>
              <w:overflowPunct w:val="0"/>
              <w:autoSpaceDE w:val="0"/>
              <w:autoSpaceDN w:val="0"/>
              <w:snapToGrid w:val="0"/>
              <w:rPr>
                <w:rFonts w:asciiTheme="majorBidi" w:hAnsiTheme="majorBidi" w:cstheme="majorBidi"/>
                <w:bCs/>
                <w:snapToGrid w:val="0"/>
                <w:color w:val="000000"/>
                <w:kern w:val="22"/>
                <w:szCs w:val="22"/>
                <w:lang w:val="ru-RU"/>
              </w:rPr>
            </w:pPr>
            <w:r w:rsidRPr="008A5FD1">
              <w:rPr>
                <w:rFonts w:asciiTheme="majorBidi" w:hAnsiTheme="majorBidi" w:cstheme="majorBidi"/>
                <w:b/>
                <w:bCs/>
                <w:snapToGrid w:val="0"/>
                <w:color w:val="000000"/>
                <w:kern w:val="22"/>
                <w:szCs w:val="22"/>
                <w:lang w:val="ru-RU"/>
              </w:rPr>
              <w:t>C1</w:t>
            </w:r>
            <w:r w:rsidRPr="008A5FD1">
              <w:rPr>
                <w:rFonts w:asciiTheme="majorBidi" w:hAnsiTheme="majorBidi" w:cstheme="majorBidi"/>
                <w:bCs/>
                <w:snapToGrid w:val="0"/>
                <w:color w:val="000000"/>
                <w:kern w:val="22"/>
                <w:szCs w:val="22"/>
                <w:lang w:val="ru-RU"/>
              </w:rPr>
              <w:t xml:space="preserve">: Уникальность или малая распространенность </w:t>
            </w:r>
          </w:p>
          <w:p w:rsidR="004A39AD" w:rsidRPr="008A5FD1" w:rsidRDefault="004A39AD" w:rsidP="004A39AD">
            <w:pPr>
              <w:numPr>
                <w:ilvl w:val="0"/>
                <w:numId w:val="21"/>
              </w:numPr>
              <w:suppressLineNumbers/>
              <w:suppressAutoHyphens/>
              <w:kinsoku w:val="0"/>
              <w:overflowPunct w:val="0"/>
              <w:autoSpaceDE w:val="0"/>
              <w:autoSpaceDN w:val="0"/>
              <w:snapToGrid w:val="0"/>
              <w:rPr>
                <w:rFonts w:asciiTheme="majorBidi" w:hAnsiTheme="majorBidi" w:cstheme="majorBidi"/>
                <w:bCs/>
                <w:snapToGrid w:val="0"/>
                <w:color w:val="000000"/>
                <w:kern w:val="22"/>
                <w:szCs w:val="22"/>
                <w:lang w:val="ru-RU"/>
              </w:rPr>
            </w:pPr>
            <w:r w:rsidRPr="008A5FD1">
              <w:rPr>
                <w:rFonts w:asciiTheme="majorBidi" w:hAnsiTheme="majorBidi" w:cstheme="majorBidi"/>
                <w:b/>
                <w:bCs/>
                <w:snapToGrid w:val="0"/>
                <w:color w:val="000000"/>
                <w:kern w:val="22"/>
                <w:szCs w:val="22"/>
                <w:lang w:val="ru-RU"/>
              </w:rPr>
              <w:t>C2</w:t>
            </w:r>
            <w:r w:rsidRPr="008A5FD1">
              <w:rPr>
                <w:rFonts w:asciiTheme="majorBidi" w:hAnsiTheme="majorBidi" w:cstheme="majorBidi"/>
                <w:bCs/>
                <w:snapToGrid w:val="0"/>
                <w:color w:val="000000"/>
                <w:kern w:val="22"/>
                <w:szCs w:val="22"/>
                <w:lang w:val="ru-RU"/>
              </w:rPr>
              <w:t>: Особая важность для этапов цикла развития видов</w:t>
            </w:r>
          </w:p>
          <w:p w:rsidR="004A39AD" w:rsidRPr="008A5FD1" w:rsidRDefault="004A39AD" w:rsidP="004A39AD">
            <w:pPr>
              <w:numPr>
                <w:ilvl w:val="0"/>
                <w:numId w:val="21"/>
              </w:numPr>
              <w:suppressLineNumbers/>
              <w:suppressAutoHyphens/>
              <w:kinsoku w:val="0"/>
              <w:overflowPunct w:val="0"/>
              <w:autoSpaceDE w:val="0"/>
              <w:autoSpaceDN w:val="0"/>
              <w:snapToGrid w:val="0"/>
              <w:rPr>
                <w:rFonts w:asciiTheme="majorBidi" w:hAnsiTheme="majorBidi" w:cstheme="majorBidi"/>
                <w:bCs/>
                <w:snapToGrid w:val="0"/>
                <w:color w:val="000000"/>
                <w:kern w:val="22"/>
                <w:szCs w:val="22"/>
                <w:lang w:val="ru-RU"/>
              </w:rPr>
            </w:pPr>
            <w:r w:rsidRPr="008A5FD1">
              <w:rPr>
                <w:rFonts w:asciiTheme="majorBidi" w:hAnsiTheme="majorBidi" w:cstheme="majorBidi"/>
                <w:b/>
                <w:bCs/>
                <w:snapToGrid w:val="0"/>
                <w:color w:val="000000"/>
                <w:kern w:val="22"/>
                <w:szCs w:val="22"/>
                <w:lang w:val="ru-RU"/>
              </w:rPr>
              <w:t>C3</w:t>
            </w:r>
            <w:r w:rsidRPr="008A5FD1">
              <w:rPr>
                <w:rFonts w:asciiTheme="majorBidi" w:hAnsiTheme="majorBidi" w:cstheme="majorBidi"/>
                <w:bCs/>
                <w:snapToGrid w:val="0"/>
                <w:color w:val="000000"/>
                <w:kern w:val="22"/>
                <w:szCs w:val="22"/>
                <w:lang w:val="ru-RU"/>
              </w:rPr>
              <w:t xml:space="preserve">: </w:t>
            </w:r>
            <w:proofErr w:type="gramStart"/>
            <w:r w:rsidRPr="008A5FD1">
              <w:rPr>
                <w:rFonts w:asciiTheme="majorBidi" w:hAnsiTheme="majorBidi" w:cstheme="majorBidi"/>
                <w:bCs/>
                <w:snapToGrid w:val="0"/>
                <w:color w:val="000000"/>
                <w:kern w:val="22"/>
                <w:szCs w:val="22"/>
                <w:lang w:val="ru-RU"/>
              </w:rPr>
              <w:t>Важное значение</w:t>
            </w:r>
            <w:proofErr w:type="gramEnd"/>
            <w:r w:rsidRPr="008A5FD1">
              <w:rPr>
                <w:rFonts w:asciiTheme="majorBidi" w:hAnsiTheme="majorBidi" w:cstheme="majorBidi"/>
                <w:bCs/>
                <w:snapToGrid w:val="0"/>
                <w:color w:val="000000"/>
                <w:kern w:val="22"/>
                <w:szCs w:val="22"/>
                <w:lang w:val="ru-RU"/>
              </w:rPr>
              <w:t xml:space="preserve"> для угрожаемых, находящихся под угрозой исчезновения или исчезающих видов и/или мест обитания</w:t>
            </w:r>
          </w:p>
          <w:p w:rsidR="004A39AD" w:rsidRPr="008A5FD1" w:rsidRDefault="004A39AD" w:rsidP="004A39AD">
            <w:pPr>
              <w:numPr>
                <w:ilvl w:val="0"/>
                <w:numId w:val="21"/>
              </w:numPr>
              <w:suppressLineNumbers/>
              <w:suppressAutoHyphens/>
              <w:kinsoku w:val="0"/>
              <w:overflowPunct w:val="0"/>
              <w:autoSpaceDE w:val="0"/>
              <w:autoSpaceDN w:val="0"/>
              <w:snapToGrid w:val="0"/>
              <w:rPr>
                <w:rFonts w:asciiTheme="majorBidi" w:hAnsiTheme="majorBidi" w:cstheme="majorBidi"/>
                <w:bCs/>
                <w:snapToGrid w:val="0"/>
                <w:color w:val="000000"/>
                <w:kern w:val="22"/>
                <w:szCs w:val="22"/>
                <w:lang w:val="ru-RU"/>
              </w:rPr>
            </w:pPr>
            <w:r w:rsidRPr="008A5FD1">
              <w:rPr>
                <w:rFonts w:asciiTheme="majorBidi" w:hAnsiTheme="majorBidi" w:cstheme="majorBidi"/>
                <w:b/>
                <w:bCs/>
                <w:snapToGrid w:val="0"/>
                <w:color w:val="000000"/>
                <w:kern w:val="22"/>
                <w:szCs w:val="22"/>
                <w:lang w:val="ru-RU"/>
              </w:rPr>
              <w:t>C4</w:t>
            </w:r>
            <w:r w:rsidRPr="008A5FD1">
              <w:rPr>
                <w:rFonts w:asciiTheme="majorBidi" w:hAnsiTheme="majorBidi" w:cstheme="majorBidi"/>
                <w:bCs/>
                <w:snapToGrid w:val="0"/>
                <w:color w:val="000000"/>
                <w:kern w:val="22"/>
                <w:szCs w:val="22"/>
                <w:lang w:val="ru-RU"/>
              </w:rPr>
              <w:t>: Уязвимость, хрупкость, чувствительность или медленные темпы восстановления</w:t>
            </w:r>
          </w:p>
          <w:p w:rsidR="004A39AD" w:rsidRPr="008A5FD1" w:rsidRDefault="004A39AD" w:rsidP="004A39AD">
            <w:pPr>
              <w:numPr>
                <w:ilvl w:val="0"/>
                <w:numId w:val="21"/>
              </w:numPr>
              <w:suppressLineNumbers/>
              <w:suppressAutoHyphens/>
              <w:kinsoku w:val="0"/>
              <w:overflowPunct w:val="0"/>
              <w:autoSpaceDE w:val="0"/>
              <w:autoSpaceDN w:val="0"/>
              <w:snapToGrid w:val="0"/>
              <w:rPr>
                <w:rFonts w:asciiTheme="majorBidi" w:hAnsiTheme="majorBidi" w:cstheme="majorBidi"/>
                <w:bCs/>
                <w:snapToGrid w:val="0"/>
                <w:color w:val="000000"/>
                <w:kern w:val="22"/>
                <w:szCs w:val="22"/>
                <w:lang w:val="ru-RU"/>
              </w:rPr>
            </w:pPr>
            <w:r w:rsidRPr="008A5FD1">
              <w:rPr>
                <w:rFonts w:asciiTheme="majorBidi" w:hAnsiTheme="majorBidi" w:cstheme="majorBidi"/>
                <w:b/>
                <w:bCs/>
                <w:snapToGrid w:val="0"/>
                <w:color w:val="000000"/>
                <w:kern w:val="22"/>
                <w:szCs w:val="22"/>
                <w:lang w:val="ru-RU"/>
              </w:rPr>
              <w:t>C5</w:t>
            </w:r>
            <w:r w:rsidRPr="008A5FD1">
              <w:rPr>
                <w:rFonts w:asciiTheme="majorBidi" w:hAnsiTheme="majorBidi" w:cstheme="majorBidi"/>
                <w:bCs/>
                <w:snapToGrid w:val="0"/>
                <w:color w:val="000000"/>
                <w:kern w:val="22"/>
                <w:szCs w:val="22"/>
                <w:lang w:val="ru-RU"/>
              </w:rPr>
              <w:t>: Биологическая производительность</w:t>
            </w:r>
          </w:p>
          <w:p w:rsidR="004A39AD" w:rsidRPr="008A5FD1" w:rsidRDefault="004A39AD" w:rsidP="004A39AD">
            <w:pPr>
              <w:numPr>
                <w:ilvl w:val="0"/>
                <w:numId w:val="21"/>
              </w:numPr>
              <w:suppressLineNumbers/>
              <w:suppressAutoHyphens/>
              <w:kinsoku w:val="0"/>
              <w:overflowPunct w:val="0"/>
              <w:autoSpaceDE w:val="0"/>
              <w:autoSpaceDN w:val="0"/>
              <w:snapToGrid w:val="0"/>
              <w:rPr>
                <w:rFonts w:asciiTheme="majorBidi" w:hAnsiTheme="majorBidi" w:cstheme="majorBidi"/>
                <w:bCs/>
                <w:snapToGrid w:val="0"/>
                <w:color w:val="000000"/>
                <w:kern w:val="22"/>
                <w:szCs w:val="22"/>
                <w:lang w:val="ru-RU"/>
              </w:rPr>
            </w:pPr>
            <w:r w:rsidRPr="008A5FD1">
              <w:rPr>
                <w:rFonts w:asciiTheme="majorBidi" w:hAnsiTheme="majorBidi" w:cstheme="majorBidi"/>
                <w:b/>
                <w:bCs/>
                <w:snapToGrid w:val="0"/>
                <w:color w:val="000000"/>
                <w:kern w:val="22"/>
                <w:szCs w:val="22"/>
                <w:lang w:val="ru-RU"/>
              </w:rPr>
              <w:t>C6</w:t>
            </w:r>
            <w:r w:rsidRPr="008A5FD1">
              <w:rPr>
                <w:rFonts w:asciiTheme="majorBidi" w:hAnsiTheme="majorBidi" w:cstheme="majorBidi"/>
                <w:bCs/>
                <w:snapToGrid w:val="0"/>
                <w:color w:val="000000"/>
                <w:kern w:val="22"/>
                <w:szCs w:val="22"/>
                <w:lang w:val="ru-RU"/>
              </w:rPr>
              <w:t>: Биологическое разнообразие</w:t>
            </w:r>
          </w:p>
          <w:p w:rsidR="004A39AD" w:rsidRPr="008A5FD1" w:rsidRDefault="004A39AD" w:rsidP="004A39AD">
            <w:pPr>
              <w:numPr>
                <w:ilvl w:val="0"/>
                <w:numId w:val="21"/>
              </w:numPr>
              <w:suppressLineNumbers/>
              <w:suppressAutoHyphens/>
              <w:kinsoku w:val="0"/>
              <w:overflowPunct w:val="0"/>
              <w:autoSpaceDE w:val="0"/>
              <w:autoSpaceDN w:val="0"/>
              <w:snapToGrid w:val="0"/>
              <w:rPr>
                <w:rFonts w:asciiTheme="majorBidi" w:eastAsia="MS Mincho" w:hAnsiTheme="majorBidi" w:cstheme="majorBidi"/>
                <w:b/>
                <w:snapToGrid w:val="0"/>
                <w:kern w:val="22"/>
                <w:szCs w:val="22"/>
              </w:rPr>
            </w:pPr>
            <w:r w:rsidRPr="008A5FD1">
              <w:rPr>
                <w:rFonts w:asciiTheme="majorBidi" w:hAnsiTheme="majorBidi" w:cstheme="majorBidi"/>
                <w:b/>
                <w:snapToGrid w:val="0"/>
                <w:color w:val="000000"/>
                <w:kern w:val="22"/>
                <w:szCs w:val="22"/>
                <w:lang w:val="ru-RU"/>
              </w:rPr>
              <w:t>C7</w:t>
            </w:r>
            <w:r w:rsidRPr="008A5FD1">
              <w:rPr>
                <w:rFonts w:asciiTheme="majorBidi" w:hAnsiTheme="majorBidi" w:cstheme="majorBidi"/>
                <w:snapToGrid w:val="0"/>
                <w:color w:val="000000"/>
                <w:kern w:val="22"/>
                <w:szCs w:val="22"/>
                <w:lang w:val="ru-RU"/>
              </w:rPr>
              <w:t>: Естественность</w:t>
            </w:r>
          </w:p>
        </w:tc>
      </w:tr>
    </w:tbl>
    <w:p w:rsidR="004A39AD" w:rsidRPr="00FD6CDE" w:rsidRDefault="004A39AD" w:rsidP="004A39AD">
      <w:pPr>
        <w:jc w:val="center"/>
        <w:rPr>
          <w:b/>
          <w:bCs/>
          <w:sz w:val="20"/>
          <w:szCs w:val="20"/>
        </w:rPr>
        <w:sectPr w:rsidR="004A39AD" w:rsidRPr="00FD6CDE" w:rsidSect="00403388">
          <w:headerReference w:type="even" r:id="rId27"/>
          <w:footerReference w:type="even" r:id="rId28"/>
          <w:pgSz w:w="12240" w:h="15840"/>
          <w:pgMar w:top="567" w:right="1389" w:bottom="1134" w:left="1389" w:header="709" w:footer="709" w:gutter="0"/>
          <w:cols w:space="708"/>
          <w:titlePg/>
          <w:docGrid w:linePitch="360"/>
        </w:sectPr>
      </w:pPr>
    </w:p>
    <w:p w:rsidR="004A39AD" w:rsidRPr="00C9766A" w:rsidRDefault="004A39AD" w:rsidP="004A39AD">
      <w:pPr>
        <w:suppressLineNumbers/>
        <w:tabs>
          <w:tab w:val="center" w:pos="4320"/>
          <w:tab w:val="right" w:pos="8640"/>
        </w:tabs>
        <w:suppressAutoHyphens/>
        <w:kinsoku w:val="0"/>
        <w:overflowPunct w:val="0"/>
        <w:autoSpaceDE w:val="0"/>
        <w:autoSpaceDN w:val="0"/>
        <w:jc w:val="left"/>
        <w:outlineLvl w:val="3"/>
        <w:rPr>
          <w:b/>
          <w:snapToGrid w:val="0"/>
          <w:kern w:val="22"/>
          <w:sz w:val="20"/>
          <w:szCs w:val="20"/>
          <w:lang w:val="ru-RU"/>
        </w:rPr>
      </w:pPr>
      <w:r w:rsidRPr="00C9766A">
        <w:rPr>
          <w:b/>
          <w:sz w:val="20"/>
          <w:szCs w:val="20"/>
          <w:lang w:val="ru-RU"/>
        </w:rPr>
        <w:t>Таблица 1. Описание районов, соответствующих критериям определения ЭБЗР, в северо-восточной части Атлантического океана и прилегающих территорий</w:t>
      </w:r>
    </w:p>
    <w:p w:rsidR="004A39AD" w:rsidRPr="00C9766A" w:rsidRDefault="004A39AD" w:rsidP="004A39AD">
      <w:pPr>
        <w:suppressLineNumbers/>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kinsoku w:val="0"/>
        <w:overflowPunct w:val="0"/>
        <w:autoSpaceDE w:val="0"/>
        <w:autoSpaceDN w:val="0"/>
        <w:spacing w:before="120" w:after="120"/>
        <w:rPr>
          <w:i/>
          <w:snapToGrid w:val="0"/>
          <w:kern w:val="22"/>
          <w:sz w:val="20"/>
          <w:szCs w:val="20"/>
          <w:lang w:val="ru-RU"/>
        </w:rPr>
      </w:pPr>
      <w:r w:rsidRPr="00C9766A">
        <w:rPr>
          <w:i/>
          <w:snapToGrid w:val="0"/>
          <w:kern w:val="22"/>
          <w:sz w:val="20"/>
          <w:szCs w:val="20"/>
          <w:lang w:val="ru-RU"/>
        </w:rPr>
        <w:t>(</w:t>
      </w:r>
      <w:r w:rsidRPr="00C9766A">
        <w:rPr>
          <w:i/>
          <w:sz w:val="20"/>
          <w:szCs w:val="20"/>
          <w:lang w:val="ru-RU"/>
        </w:rPr>
        <w:t>Более подробные сведения приведены в д</w:t>
      </w:r>
      <w:r w:rsidRPr="00C9766A">
        <w:rPr>
          <w:i/>
          <w:kern w:val="22"/>
          <w:sz w:val="20"/>
          <w:szCs w:val="20"/>
          <w:lang w:val="ru-RU" w:eastAsia="ko-KR"/>
        </w:rPr>
        <w:t>окладе о работе регионального семинара по содействию</w:t>
      </w:r>
      <w:r w:rsidRPr="00C9766A">
        <w:rPr>
          <w:i/>
          <w:sz w:val="20"/>
          <w:szCs w:val="20"/>
          <w:lang w:val="ru-RU"/>
        </w:rPr>
        <w:t xml:space="preserve"> описанию экологически или биологически значимых морских районов в северо-восточной части Атлантического океана</w:t>
      </w:r>
      <w:r w:rsidRPr="00C9766A">
        <w:rPr>
          <w:i/>
          <w:snapToGrid w:val="0"/>
          <w:kern w:val="22"/>
          <w:sz w:val="20"/>
          <w:szCs w:val="20"/>
          <w:lang w:val="ru-RU"/>
        </w:rPr>
        <w:t xml:space="preserve"> (</w:t>
      </w:r>
      <w:r w:rsidRPr="003D4111">
        <w:rPr>
          <w:i/>
          <w:snapToGrid w:val="0"/>
          <w:kern w:val="22"/>
          <w:sz w:val="20"/>
          <w:szCs w:val="20"/>
        </w:rPr>
        <w:t>CBD</w:t>
      </w:r>
      <w:r w:rsidRPr="00C9766A">
        <w:rPr>
          <w:i/>
          <w:snapToGrid w:val="0"/>
          <w:kern w:val="22"/>
          <w:sz w:val="20"/>
          <w:szCs w:val="20"/>
          <w:lang w:val="ru-RU"/>
        </w:rPr>
        <w:t>/</w:t>
      </w:r>
      <w:r w:rsidRPr="003D4111">
        <w:rPr>
          <w:i/>
          <w:snapToGrid w:val="0"/>
          <w:kern w:val="22"/>
          <w:sz w:val="20"/>
          <w:szCs w:val="20"/>
        </w:rPr>
        <w:t>EBSA</w:t>
      </w:r>
      <w:r w:rsidRPr="00C9766A">
        <w:rPr>
          <w:i/>
          <w:snapToGrid w:val="0"/>
          <w:kern w:val="22"/>
          <w:sz w:val="20"/>
          <w:szCs w:val="20"/>
          <w:lang w:val="ru-RU"/>
        </w:rPr>
        <w:t>/</w:t>
      </w:r>
      <w:r w:rsidRPr="003D4111">
        <w:rPr>
          <w:i/>
          <w:snapToGrid w:val="0"/>
          <w:kern w:val="22"/>
          <w:sz w:val="20"/>
          <w:szCs w:val="20"/>
        </w:rPr>
        <w:t>WS</w:t>
      </w:r>
      <w:r w:rsidRPr="00C9766A">
        <w:rPr>
          <w:i/>
          <w:snapToGrid w:val="0"/>
          <w:kern w:val="22"/>
          <w:sz w:val="20"/>
          <w:szCs w:val="20"/>
          <w:lang w:val="ru-RU"/>
        </w:rPr>
        <w:t>/2019/1/4))</w:t>
      </w:r>
    </w:p>
    <w:tbl>
      <w:tblPr>
        <w:tblW w:w="132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9687"/>
        <w:gridCol w:w="506"/>
        <w:gridCol w:w="506"/>
        <w:gridCol w:w="506"/>
        <w:gridCol w:w="506"/>
        <w:gridCol w:w="506"/>
        <w:gridCol w:w="506"/>
        <w:gridCol w:w="507"/>
      </w:tblGrid>
      <w:tr w:rsidR="004A39AD" w:rsidRPr="003D4111" w:rsidTr="00940363">
        <w:trPr>
          <w:trHeight w:val="264"/>
          <w:tblHeader/>
        </w:trPr>
        <w:tc>
          <w:tcPr>
            <w:tcW w:w="9687" w:type="dxa"/>
            <w:vMerge w:val="restart"/>
            <w:tcBorders>
              <w:top w:val="single" w:sz="4" w:space="0" w:color="auto"/>
              <w:left w:val="single" w:sz="4" w:space="0" w:color="auto"/>
              <w:bottom w:val="single" w:sz="4" w:space="0" w:color="auto"/>
              <w:right w:val="single" w:sz="4" w:space="0" w:color="auto"/>
            </w:tcBorders>
            <w:hideMark/>
          </w:tcPr>
          <w:p w:rsidR="004A39AD" w:rsidRPr="00C9766A" w:rsidRDefault="004A39AD" w:rsidP="00940363">
            <w:pPr>
              <w:suppressLineNumbers/>
              <w:suppressAutoHyphens/>
              <w:kinsoku w:val="0"/>
              <w:overflowPunct w:val="0"/>
              <w:autoSpaceDE w:val="0"/>
              <w:autoSpaceDN w:val="0"/>
              <w:snapToGrid w:val="0"/>
              <w:jc w:val="center"/>
              <w:rPr>
                <w:b/>
                <w:snapToGrid w:val="0"/>
                <w:kern w:val="22"/>
                <w:sz w:val="20"/>
                <w:szCs w:val="20"/>
                <w:lang w:val="ru-RU"/>
              </w:rPr>
            </w:pPr>
            <w:r w:rsidRPr="00C9766A">
              <w:rPr>
                <w:b/>
                <w:sz w:val="20"/>
                <w:szCs w:val="20"/>
                <w:lang w:val="ru-RU"/>
              </w:rPr>
              <w:t>Местонахождение районов и краткое описание</w:t>
            </w:r>
          </w:p>
        </w:tc>
        <w:tc>
          <w:tcPr>
            <w:tcW w:w="506" w:type="dxa"/>
            <w:tcBorders>
              <w:top w:val="single" w:sz="4" w:space="0" w:color="auto"/>
              <w:left w:val="single" w:sz="4" w:space="0" w:color="auto"/>
              <w:bottom w:val="single" w:sz="4" w:space="0" w:color="auto"/>
              <w:right w:val="single" w:sz="4" w:space="0" w:color="auto"/>
            </w:tcBorders>
            <w:hideMark/>
          </w:tcPr>
          <w:p w:rsidR="004A39AD" w:rsidRPr="003D4111" w:rsidRDefault="004A39AD" w:rsidP="00940363">
            <w:pPr>
              <w:suppressLineNumbers/>
              <w:suppressAutoHyphens/>
              <w:kinsoku w:val="0"/>
              <w:overflowPunct w:val="0"/>
              <w:autoSpaceDE w:val="0"/>
              <w:autoSpaceDN w:val="0"/>
              <w:snapToGrid w:val="0"/>
              <w:jc w:val="center"/>
              <w:rPr>
                <w:b/>
                <w:snapToGrid w:val="0"/>
                <w:kern w:val="22"/>
                <w:sz w:val="20"/>
                <w:szCs w:val="20"/>
              </w:rPr>
            </w:pPr>
            <w:r w:rsidRPr="003D4111">
              <w:rPr>
                <w:b/>
                <w:snapToGrid w:val="0"/>
                <w:kern w:val="22"/>
                <w:sz w:val="20"/>
                <w:szCs w:val="20"/>
              </w:rPr>
              <w:t>C1</w:t>
            </w:r>
          </w:p>
        </w:tc>
        <w:tc>
          <w:tcPr>
            <w:tcW w:w="506" w:type="dxa"/>
            <w:tcBorders>
              <w:top w:val="single" w:sz="4" w:space="0" w:color="auto"/>
              <w:left w:val="single" w:sz="4" w:space="0" w:color="auto"/>
              <w:bottom w:val="single" w:sz="4" w:space="0" w:color="auto"/>
              <w:right w:val="single" w:sz="4" w:space="0" w:color="auto"/>
            </w:tcBorders>
            <w:hideMark/>
          </w:tcPr>
          <w:p w:rsidR="004A39AD" w:rsidRPr="003D4111" w:rsidRDefault="004A39AD" w:rsidP="00940363">
            <w:pPr>
              <w:suppressLineNumbers/>
              <w:suppressAutoHyphens/>
              <w:kinsoku w:val="0"/>
              <w:overflowPunct w:val="0"/>
              <w:autoSpaceDE w:val="0"/>
              <w:autoSpaceDN w:val="0"/>
              <w:snapToGrid w:val="0"/>
              <w:jc w:val="center"/>
              <w:rPr>
                <w:b/>
                <w:snapToGrid w:val="0"/>
                <w:kern w:val="22"/>
                <w:sz w:val="20"/>
                <w:szCs w:val="20"/>
              </w:rPr>
            </w:pPr>
            <w:r w:rsidRPr="003D4111">
              <w:rPr>
                <w:b/>
                <w:snapToGrid w:val="0"/>
                <w:kern w:val="22"/>
                <w:sz w:val="20"/>
                <w:szCs w:val="20"/>
              </w:rPr>
              <w:t>C2</w:t>
            </w:r>
          </w:p>
        </w:tc>
        <w:tc>
          <w:tcPr>
            <w:tcW w:w="506" w:type="dxa"/>
            <w:tcBorders>
              <w:top w:val="single" w:sz="4" w:space="0" w:color="auto"/>
              <w:left w:val="single" w:sz="4" w:space="0" w:color="auto"/>
              <w:bottom w:val="single" w:sz="4" w:space="0" w:color="auto"/>
              <w:right w:val="single" w:sz="4" w:space="0" w:color="auto"/>
            </w:tcBorders>
            <w:hideMark/>
          </w:tcPr>
          <w:p w:rsidR="004A39AD" w:rsidRPr="003D4111" w:rsidRDefault="004A39AD" w:rsidP="00940363">
            <w:pPr>
              <w:suppressLineNumbers/>
              <w:suppressAutoHyphens/>
              <w:kinsoku w:val="0"/>
              <w:overflowPunct w:val="0"/>
              <w:autoSpaceDE w:val="0"/>
              <w:autoSpaceDN w:val="0"/>
              <w:snapToGrid w:val="0"/>
              <w:jc w:val="center"/>
              <w:rPr>
                <w:b/>
                <w:snapToGrid w:val="0"/>
                <w:kern w:val="22"/>
                <w:sz w:val="20"/>
                <w:szCs w:val="20"/>
              </w:rPr>
            </w:pPr>
            <w:r w:rsidRPr="003D4111">
              <w:rPr>
                <w:b/>
                <w:snapToGrid w:val="0"/>
                <w:kern w:val="22"/>
                <w:sz w:val="20"/>
                <w:szCs w:val="20"/>
              </w:rPr>
              <w:t>C3</w:t>
            </w:r>
          </w:p>
        </w:tc>
        <w:tc>
          <w:tcPr>
            <w:tcW w:w="506" w:type="dxa"/>
            <w:tcBorders>
              <w:top w:val="single" w:sz="4" w:space="0" w:color="auto"/>
              <w:left w:val="single" w:sz="4" w:space="0" w:color="auto"/>
              <w:bottom w:val="single" w:sz="4" w:space="0" w:color="auto"/>
              <w:right w:val="single" w:sz="4" w:space="0" w:color="auto"/>
            </w:tcBorders>
            <w:hideMark/>
          </w:tcPr>
          <w:p w:rsidR="004A39AD" w:rsidRPr="003D4111" w:rsidRDefault="004A39AD" w:rsidP="00940363">
            <w:pPr>
              <w:suppressLineNumbers/>
              <w:suppressAutoHyphens/>
              <w:kinsoku w:val="0"/>
              <w:overflowPunct w:val="0"/>
              <w:autoSpaceDE w:val="0"/>
              <w:autoSpaceDN w:val="0"/>
              <w:snapToGrid w:val="0"/>
              <w:jc w:val="center"/>
              <w:rPr>
                <w:b/>
                <w:snapToGrid w:val="0"/>
                <w:kern w:val="22"/>
                <w:sz w:val="20"/>
                <w:szCs w:val="20"/>
              </w:rPr>
            </w:pPr>
            <w:r w:rsidRPr="003D4111">
              <w:rPr>
                <w:b/>
                <w:snapToGrid w:val="0"/>
                <w:kern w:val="22"/>
                <w:sz w:val="20"/>
                <w:szCs w:val="20"/>
              </w:rPr>
              <w:t>C4</w:t>
            </w:r>
          </w:p>
        </w:tc>
        <w:tc>
          <w:tcPr>
            <w:tcW w:w="506" w:type="dxa"/>
            <w:tcBorders>
              <w:top w:val="single" w:sz="4" w:space="0" w:color="auto"/>
              <w:left w:val="single" w:sz="4" w:space="0" w:color="auto"/>
              <w:bottom w:val="single" w:sz="4" w:space="0" w:color="auto"/>
              <w:right w:val="single" w:sz="4" w:space="0" w:color="auto"/>
            </w:tcBorders>
            <w:hideMark/>
          </w:tcPr>
          <w:p w:rsidR="004A39AD" w:rsidRPr="003D4111" w:rsidRDefault="004A39AD" w:rsidP="00940363">
            <w:pPr>
              <w:suppressLineNumbers/>
              <w:suppressAutoHyphens/>
              <w:kinsoku w:val="0"/>
              <w:overflowPunct w:val="0"/>
              <w:autoSpaceDE w:val="0"/>
              <w:autoSpaceDN w:val="0"/>
              <w:snapToGrid w:val="0"/>
              <w:jc w:val="center"/>
              <w:rPr>
                <w:b/>
                <w:snapToGrid w:val="0"/>
                <w:kern w:val="22"/>
                <w:sz w:val="20"/>
                <w:szCs w:val="20"/>
              </w:rPr>
            </w:pPr>
            <w:r w:rsidRPr="003D4111">
              <w:rPr>
                <w:b/>
                <w:snapToGrid w:val="0"/>
                <w:kern w:val="22"/>
                <w:sz w:val="20"/>
                <w:szCs w:val="20"/>
              </w:rPr>
              <w:t>C5</w:t>
            </w:r>
          </w:p>
        </w:tc>
        <w:tc>
          <w:tcPr>
            <w:tcW w:w="506" w:type="dxa"/>
            <w:tcBorders>
              <w:top w:val="single" w:sz="4" w:space="0" w:color="auto"/>
              <w:left w:val="single" w:sz="4" w:space="0" w:color="auto"/>
              <w:bottom w:val="single" w:sz="4" w:space="0" w:color="auto"/>
              <w:right w:val="single" w:sz="4" w:space="0" w:color="auto"/>
            </w:tcBorders>
            <w:hideMark/>
          </w:tcPr>
          <w:p w:rsidR="004A39AD" w:rsidRPr="003D4111" w:rsidRDefault="004A39AD" w:rsidP="00940363">
            <w:pPr>
              <w:suppressLineNumbers/>
              <w:suppressAutoHyphens/>
              <w:kinsoku w:val="0"/>
              <w:overflowPunct w:val="0"/>
              <w:autoSpaceDE w:val="0"/>
              <w:autoSpaceDN w:val="0"/>
              <w:snapToGrid w:val="0"/>
              <w:jc w:val="center"/>
              <w:rPr>
                <w:b/>
                <w:snapToGrid w:val="0"/>
                <w:kern w:val="22"/>
                <w:sz w:val="20"/>
                <w:szCs w:val="20"/>
              </w:rPr>
            </w:pPr>
            <w:r w:rsidRPr="003D4111">
              <w:rPr>
                <w:b/>
                <w:snapToGrid w:val="0"/>
                <w:kern w:val="22"/>
                <w:sz w:val="20"/>
                <w:szCs w:val="20"/>
              </w:rPr>
              <w:t>C6</w:t>
            </w:r>
          </w:p>
        </w:tc>
        <w:tc>
          <w:tcPr>
            <w:tcW w:w="507" w:type="dxa"/>
            <w:tcBorders>
              <w:top w:val="single" w:sz="4" w:space="0" w:color="auto"/>
              <w:left w:val="single" w:sz="4" w:space="0" w:color="auto"/>
              <w:bottom w:val="single" w:sz="4" w:space="0" w:color="auto"/>
              <w:right w:val="single" w:sz="4" w:space="0" w:color="auto"/>
            </w:tcBorders>
            <w:hideMark/>
          </w:tcPr>
          <w:p w:rsidR="004A39AD" w:rsidRPr="003D4111" w:rsidRDefault="004A39AD" w:rsidP="00940363">
            <w:pPr>
              <w:suppressLineNumbers/>
              <w:suppressAutoHyphens/>
              <w:kinsoku w:val="0"/>
              <w:overflowPunct w:val="0"/>
              <w:autoSpaceDE w:val="0"/>
              <w:autoSpaceDN w:val="0"/>
              <w:snapToGrid w:val="0"/>
              <w:jc w:val="center"/>
              <w:rPr>
                <w:b/>
                <w:snapToGrid w:val="0"/>
                <w:kern w:val="22"/>
                <w:sz w:val="20"/>
                <w:szCs w:val="20"/>
              </w:rPr>
            </w:pPr>
            <w:r w:rsidRPr="003D4111">
              <w:rPr>
                <w:b/>
                <w:snapToGrid w:val="0"/>
                <w:kern w:val="22"/>
                <w:sz w:val="20"/>
                <w:szCs w:val="20"/>
              </w:rPr>
              <w:t>C7</w:t>
            </w:r>
          </w:p>
        </w:tc>
      </w:tr>
      <w:tr w:rsidR="004A39AD" w:rsidRPr="000C3770" w:rsidTr="00940363">
        <w:trPr>
          <w:trHeight w:val="264"/>
          <w:tblHeader/>
        </w:trPr>
        <w:tc>
          <w:tcPr>
            <w:tcW w:w="9687" w:type="dxa"/>
            <w:vMerge/>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jc w:val="left"/>
              <w:rPr>
                <w:b/>
                <w:snapToGrid w:val="0"/>
                <w:kern w:val="22"/>
                <w:sz w:val="20"/>
                <w:szCs w:val="20"/>
              </w:rPr>
            </w:pPr>
          </w:p>
        </w:tc>
        <w:tc>
          <w:tcPr>
            <w:tcW w:w="3543" w:type="dxa"/>
            <w:gridSpan w:val="7"/>
            <w:tcBorders>
              <w:top w:val="single" w:sz="4" w:space="0" w:color="auto"/>
              <w:left w:val="single" w:sz="4" w:space="0" w:color="auto"/>
              <w:bottom w:val="single" w:sz="4" w:space="0" w:color="auto"/>
              <w:right w:val="single" w:sz="4" w:space="0" w:color="auto"/>
            </w:tcBorders>
            <w:hideMark/>
          </w:tcPr>
          <w:p w:rsidR="004A39AD" w:rsidRPr="00C9766A" w:rsidRDefault="004A39AD" w:rsidP="00940363">
            <w:pPr>
              <w:suppressLineNumbers/>
              <w:suppressAutoHyphens/>
              <w:kinsoku w:val="0"/>
              <w:overflowPunct w:val="0"/>
              <w:autoSpaceDE w:val="0"/>
              <w:autoSpaceDN w:val="0"/>
              <w:snapToGrid w:val="0"/>
              <w:jc w:val="center"/>
              <w:rPr>
                <w:b/>
                <w:snapToGrid w:val="0"/>
                <w:kern w:val="22"/>
                <w:sz w:val="20"/>
                <w:szCs w:val="20"/>
                <w:lang w:val="ru-RU"/>
              </w:rPr>
            </w:pPr>
            <w:r w:rsidRPr="00C9766A">
              <w:rPr>
                <w:sz w:val="20"/>
                <w:szCs w:val="20"/>
                <w:lang w:val="ru-RU"/>
              </w:rPr>
              <w:t>См. выше указатели к таблицам</w:t>
            </w:r>
          </w:p>
        </w:tc>
      </w:tr>
      <w:tr w:rsidR="004A39AD" w:rsidRPr="003D4111" w:rsidTr="00940363">
        <w:tc>
          <w:tcPr>
            <w:tcW w:w="9687" w:type="dxa"/>
            <w:tcBorders>
              <w:top w:val="single" w:sz="4" w:space="0" w:color="auto"/>
              <w:left w:val="single" w:sz="4" w:space="0" w:color="auto"/>
              <w:bottom w:val="single" w:sz="4" w:space="0" w:color="auto"/>
              <w:right w:val="single" w:sz="4" w:space="0" w:color="auto"/>
            </w:tcBorders>
            <w:hideMark/>
          </w:tcPr>
          <w:p w:rsidR="004A39AD" w:rsidRPr="003D4111" w:rsidRDefault="004A39AD" w:rsidP="00940363">
            <w:pPr>
              <w:suppressLineNumbers/>
              <w:suppressAutoHyphens/>
              <w:kinsoku w:val="0"/>
              <w:overflowPunct w:val="0"/>
              <w:autoSpaceDE w:val="0"/>
              <w:autoSpaceDN w:val="0"/>
              <w:snapToGrid w:val="0"/>
              <w:rPr>
                <w:b/>
                <w:snapToGrid w:val="0"/>
                <w:kern w:val="22"/>
                <w:sz w:val="20"/>
                <w:szCs w:val="20"/>
              </w:rPr>
            </w:pPr>
            <w:r w:rsidRPr="003D4111">
              <w:rPr>
                <w:b/>
                <w:snapToGrid w:val="0"/>
                <w:kern w:val="22"/>
                <w:sz w:val="20"/>
                <w:szCs w:val="20"/>
              </w:rPr>
              <w:t xml:space="preserve">1. </w:t>
            </w:r>
            <w:proofErr w:type="spellStart"/>
            <w:r w:rsidRPr="003D4111">
              <w:rPr>
                <w:b/>
                <w:snapToGrid w:val="0"/>
                <w:kern w:val="22"/>
                <w:sz w:val="20"/>
                <w:szCs w:val="20"/>
              </w:rPr>
              <w:t>Датский</w:t>
            </w:r>
            <w:proofErr w:type="spellEnd"/>
            <w:r w:rsidRPr="003D4111">
              <w:rPr>
                <w:b/>
                <w:snapToGrid w:val="0"/>
                <w:kern w:val="22"/>
                <w:sz w:val="20"/>
                <w:szCs w:val="20"/>
              </w:rPr>
              <w:t xml:space="preserve"> </w:t>
            </w:r>
            <w:proofErr w:type="spellStart"/>
            <w:r w:rsidRPr="003D4111">
              <w:rPr>
                <w:b/>
                <w:snapToGrid w:val="0"/>
                <w:kern w:val="22"/>
                <w:sz w:val="20"/>
                <w:szCs w:val="20"/>
              </w:rPr>
              <w:t>Скагеррак</w:t>
            </w:r>
            <w:proofErr w:type="spellEnd"/>
          </w:p>
          <w:p w:rsidR="004A39AD" w:rsidRPr="00C9766A" w:rsidRDefault="004A39AD" w:rsidP="004A39AD">
            <w:pPr>
              <w:numPr>
                <w:ilvl w:val="0"/>
                <w:numId w:val="22"/>
              </w:numPr>
              <w:suppressLineNumbers/>
              <w:suppressAutoHyphens/>
              <w:kinsoku w:val="0"/>
              <w:overflowPunct w:val="0"/>
              <w:autoSpaceDE w:val="0"/>
              <w:autoSpaceDN w:val="0"/>
              <w:rPr>
                <w:snapToGrid w:val="0"/>
                <w:kern w:val="22"/>
                <w:sz w:val="20"/>
                <w:szCs w:val="20"/>
                <w:lang w:val="ru-RU"/>
              </w:rPr>
            </w:pPr>
            <w:r w:rsidRPr="00C9766A">
              <w:rPr>
                <w:sz w:val="20"/>
                <w:szCs w:val="20"/>
                <w:lang w:val="ru-RU"/>
              </w:rPr>
              <w:t>Местонахождение</w:t>
            </w:r>
            <w:r w:rsidRPr="00C9766A">
              <w:rPr>
                <w:snapToGrid w:val="0"/>
                <w:kern w:val="22"/>
                <w:sz w:val="20"/>
                <w:szCs w:val="20"/>
                <w:lang w:val="ru-RU"/>
              </w:rPr>
              <w:t xml:space="preserve">: Район расположен в датской части Скагеррака. На западе он доходит до 6°45’ в. д. до </w:t>
            </w:r>
            <w:proofErr w:type="spellStart"/>
            <w:r w:rsidRPr="00C9766A">
              <w:rPr>
                <w:snapToGrid w:val="0"/>
                <w:kern w:val="22"/>
                <w:sz w:val="20"/>
                <w:szCs w:val="20"/>
                <w:lang w:val="ru-RU"/>
              </w:rPr>
              <w:t>Скагена</w:t>
            </w:r>
            <w:proofErr w:type="spellEnd"/>
            <w:r w:rsidRPr="00C9766A">
              <w:rPr>
                <w:snapToGrid w:val="0"/>
                <w:kern w:val="22"/>
                <w:sz w:val="20"/>
                <w:szCs w:val="20"/>
                <w:lang w:val="ru-RU"/>
              </w:rPr>
              <w:t xml:space="preserve">, северной оконечности Ютландии, и простирается к северо-востоку от </w:t>
            </w:r>
            <w:proofErr w:type="spellStart"/>
            <w:r w:rsidRPr="00C9766A">
              <w:rPr>
                <w:snapToGrid w:val="0"/>
                <w:kern w:val="22"/>
                <w:sz w:val="20"/>
                <w:szCs w:val="20"/>
                <w:lang w:val="ru-RU"/>
              </w:rPr>
              <w:t>Скагена</w:t>
            </w:r>
            <w:proofErr w:type="spellEnd"/>
            <w:r w:rsidRPr="00C9766A">
              <w:rPr>
                <w:snapToGrid w:val="0"/>
                <w:kern w:val="22"/>
                <w:sz w:val="20"/>
                <w:szCs w:val="20"/>
                <w:lang w:val="ru-RU"/>
              </w:rPr>
              <w:t>. Район занимает площадь в 7876 км</w:t>
            </w:r>
            <w:r w:rsidRPr="00C9766A">
              <w:rPr>
                <w:snapToGrid w:val="0"/>
                <w:kern w:val="22"/>
                <w:sz w:val="20"/>
                <w:szCs w:val="20"/>
                <w:vertAlign w:val="superscript"/>
                <w:lang w:val="ru-RU"/>
              </w:rPr>
              <w:t xml:space="preserve">2 </w:t>
            </w:r>
            <w:r w:rsidRPr="00C9766A">
              <w:rPr>
                <w:snapToGrid w:val="0"/>
                <w:kern w:val="22"/>
                <w:sz w:val="20"/>
                <w:szCs w:val="20"/>
                <w:lang w:val="ru-RU"/>
              </w:rPr>
              <w:t>и его глубина достигает 465 метров от береговой линии. Северная и западная части района покрывают южную часть Норвежской впадины.</w:t>
            </w:r>
          </w:p>
          <w:p w:rsidR="004A39AD" w:rsidRPr="00C9766A" w:rsidRDefault="004A39AD" w:rsidP="004A39AD">
            <w:pPr>
              <w:numPr>
                <w:ilvl w:val="0"/>
                <w:numId w:val="22"/>
              </w:numPr>
              <w:suppressLineNumbers/>
              <w:suppressAutoHyphens/>
              <w:kinsoku w:val="0"/>
              <w:overflowPunct w:val="0"/>
              <w:autoSpaceDE w:val="0"/>
              <w:autoSpaceDN w:val="0"/>
              <w:rPr>
                <w:snapToGrid w:val="0"/>
                <w:kern w:val="22"/>
                <w:sz w:val="20"/>
                <w:szCs w:val="20"/>
                <w:lang w:val="ru-RU"/>
              </w:rPr>
            </w:pPr>
            <w:r w:rsidRPr="00C9766A">
              <w:rPr>
                <w:sz w:val="20"/>
                <w:szCs w:val="20"/>
                <w:lang w:val="ru-RU"/>
              </w:rPr>
              <w:t xml:space="preserve">Район </w:t>
            </w:r>
            <w:r w:rsidRPr="00C9766A">
              <w:rPr>
                <w:snapToGrid w:val="0"/>
                <w:kern w:val="22"/>
                <w:sz w:val="20"/>
                <w:szCs w:val="20"/>
                <w:lang w:val="ru-RU"/>
              </w:rPr>
              <w:t>ориентирован на высокопродуктивную зону апвеллинга вдоль южного края Норвежской впадины. Он обладает высокой рыбной биомассой и разнообразием, а зона апвеллинга также является ценным нагульным районом для ряда видов китообразных и птиц.</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M</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L</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M</w:t>
            </w:r>
          </w:p>
        </w:tc>
        <w:tc>
          <w:tcPr>
            <w:tcW w:w="507"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L</w:t>
            </w:r>
          </w:p>
        </w:tc>
      </w:tr>
      <w:tr w:rsidR="004A39AD" w:rsidRPr="003D4111" w:rsidTr="00940363">
        <w:tc>
          <w:tcPr>
            <w:tcW w:w="9687" w:type="dxa"/>
            <w:tcBorders>
              <w:top w:val="single" w:sz="4" w:space="0" w:color="auto"/>
              <w:left w:val="single" w:sz="4" w:space="0" w:color="auto"/>
              <w:bottom w:val="single" w:sz="4" w:space="0" w:color="auto"/>
              <w:right w:val="single" w:sz="4" w:space="0" w:color="auto"/>
            </w:tcBorders>
            <w:hideMark/>
          </w:tcPr>
          <w:p w:rsidR="004A39AD" w:rsidRPr="003D4111" w:rsidRDefault="004A39AD" w:rsidP="00940363">
            <w:pPr>
              <w:suppressLineNumbers/>
              <w:suppressAutoHyphens/>
              <w:kinsoku w:val="0"/>
              <w:overflowPunct w:val="0"/>
              <w:autoSpaceDE w:val="0"/>
              <w:autoSpaceDN w:val="0"/>
              <w:snapToGrid w:val="0"/>
              <w:rPr>
                <w:b/>
                <w:snapToGrid w:val="0"/>
                <w:kern w:val="22"/>
                <w:sz w:val="20"/>
                <w:szCs w:val="20"/>
              </w:rPr>
            </w:pPr>
            <w:r w:rsidRPr="003D4111">
              <w:rPr>
                <w:b/>
                <w:snapToGrid w:val="0"/>
                <w:kern w:val="22"/>
                <w:sz w:val="20"/>
                <w:szCs w:val="20"/>
              </w:rPr>
              <w:t xml:space="preserve">2. </w:t>
            </w:r>
            <w:proofErr w:type="spellStart"/>
            <w:r w:rsidRPr="003D4111">
              <w:rPr>
                <w:b/>
                <w:snapToGrid w:val="0"/>
                <w:kern w:val="22"/>
                <w:sz w:val="20"/>
                <w:szCs w:val="20"/>
              </w:rPr>
              <w:t>Датский</w:t>
            </w:r>
            <w:proofErr w:type="spellEnd"/>
            <w:r w:rsidRPr="003D4111">
              <w:rPr>
                <w:b/>
                <w:snapToGrid w:val="0"/>
                <w:kern w:val="22"/>
                <w:sz w:val="20"/>
                <w:szCs w:val="20"/>
              </w:rPr>
              <w:t xml:space="preserve"> </w:t>
            </w:r>
            <w:proofErr w:type="spellStart"/>
            <w:r w:rsidRPr="003D4111">
              <w:rPr>
                <w:b/>
                <w:snapToGrid w:val="0"/>
                <w:kern w:val="22"/>
                <w:sz w:val="20"/>
                <w:szCs w:val="20"/>
              </w:rPr>
              <w:t>Каттегат</w:t>
            </w:r>
            <w:proofErr w:type="spellEnd"/>
          </w:p>
          <w:p w:rsidR="004A39AD" w:rsidRPr="00C9766A" w:rsidRDefault="004A39AD" w:rsidP="00682FA0">
            <w:pPr>
              <w:numPr>
                <w:ilvl w:val="0"/>
                <w:numId w:val="22"/>
              </w:numPr>
              <w:suppressLineNumbers/>
              <w:suppressAutoHyphens/>
              <w:kinsoku w:val="0"/>
              <w:overflowPunct w:val="0"/>
              <w:autoSpaceDE w:val="0"/>
              <w:autoSpaceDN w:val="0"/>
              <w:jc w:val="left"/>
              <w:rPr>
                <w:snapToGrid w:val="0"/>
                <w:kern w:val="22"/>
                <w:sz w:val="20"/>
                <w:szCs w:val="20"/>
                <w:lang w:val="ru-RU"/>
              </w:rPr>
            </w:pPr>
            <w:r w:rsidRPr="00C9766A">
              <w:rPr>
                <w:sz w:val="20"/>
                <w:szCs w:val="20"/>
                <w:lang w:val="ru-RU"/>
              </w:rPr>
              <w:t>Местонахождение</w:t>
            </w:r>
            <w:r w:rsidRPr="00C9766A">
              <w:rPr>
                <w:snapToGrid w:val="0"/>
                <w:kern w:val="22"/>
                <w:sz w:val="20"/>
                <w:szCs w:val="20"/>
                <w:lang w:val="ru-RU"/>
              </w:rPr>
              <w:t>: Район Каттегат включает в себя северную часть внутренних датских вод. Он граничит на юге с северным побережьем Силенда, на западе с северо-восточным побережьем Ютландии, на востоке с датско-шведской границей и на севере линией от самой северной точки Дании до северо-востока. Его общая площадь составляет 14 995 км</w:t>
            </w:r>
            <w:r w:rsidRPr="00C9766A">
              <w:rPr>
                <w:snapToGrid w:val="0"/>
                <w:kern w:val="22"/>
                <w:sz w:val="20"/>
                <w:szCs w:val="20"/>
                <w:vertAlign w:val="superscript"/>
                <w:lang w:val="ru-RU"/>
              </w:rPr>
              <w:t>2</w:t>
            </w:r>
            <w:r w:rsidRPr="00C9766A">
              <w:rPr>
                <w:snapToGrid w:val="0"/>
                <w:kern w:val="22"/>
                <w:sz w:val="20"/>
                <w:szCs w:val="20"/>
                <w:lang w:val="ru-RU"/>
              </w:rPr>
              <w:t xml:space="preserve">. </w:t>
            </w:r>
            <w:r w:rsidRPr="003D4111">
              <w:rPr>
                <w:snapToGrid w:val="0"/>
                <w:kern w:val="22"/>
                <w:sz w:val="20"/>
                <w:szCs w:val="20"/>
              </w:rPr>
              <w:t>C</w:t>
            </w:r>
            <w:r w:rsidRPr="00C9766A">
              <w:rPr>
                <w:snapToGrid w:val="0"/>
                <w:kern w:val="22"/>
                <w:sz w:val="20"/>
                <w:szCs w:val="20"/>
                <w:lang w:val="ru-RU"/>
              </w:rPr>
              <w:t xml:space="preserve"> этим районом граничит существующий ЭБЗР (Район № 9: </w:t>
            </w:r>
            <w:proofErr w:type="spellStart"/>
            <w:r w:rsidRPr="00C9766A">
              <w:rPr>
                <w:snapToGrid w:val="0"/>
                <w:kern w:val="22"/>
                <w:sz w:val="20"/>
                <w:szCs w:val="20"/>
                <w:lang w:val="ru-RU"/>
              </w:rPr>
              <w:t>Фладен</w:t>
            </w:r>
            <w:proofErr w:type="spellEnd"/>
            <w:r w:rsidRPr="00C9766A">
              <w:rPr>
                <w:snapToGrid w:val="0"/>
                <w:kern w:val="22"/>
                <w:sz w:val="20"/>
                <w:szCs w:val="20"/>
                <w:lang w:val="ru-RU"/>
              </w:rPr>
              <w:t xml:space="preserve"> и </w:t>
            </w:r>
            <w:proofErr w:type="spellStart"/>
            <w:r w:rsidRPr="00C9766A">
              <w:rPr>
                <w:snapToGrid w:val="0"/>
                <w:kern w:val="22"/>
                <w:sz w:val="20"/>
                <w:szCs w:val="20"/>
                <w:lang w:val="ru-RU"/>
              </w:rPr>
              <w:t>Стора</w:t>
            </w:r>
            <w:proofErr w:type="spellEnd"/>
            <w:r w:rsidRPr="00C9766A">
              <w:rPr>
                <w:snapToGrid w:val="0"/>
                <w:kern w:val="22"/>
                <w:sz w:val="20"/>
                <w:szCs w:val="20"/>
                <w:lang w:val="ru-RU"/>
              </w:rPr>
              <w:t xml:space="preserve"> и </w:t>
            </w:r>
            <w:proofErr w:type="spellStart"/>
            <w:r w:rsidRPr="00C9766A">
              <w:rPr>
                <w:snapToGrid w:val="0"/>
                <w:kern w:val="22"/>
                <w:sz w:val="20"/>
                <w:szCs w:val="20"/>
                <w:lang w:val="ru-RU"/>
              </w:rPr>
              <w:t>Лилла</w:t>
            </w:r>
            <w:proofErr w:type="spellEnd"/>
            <w:r w:rsidRPr="00C9766A">
              <w:rPr>
                <w:snapToGrid w:val="0"/>
                <w:kern w:val="22"/>
                <w:sz w:val="20"/>
                <w:szCs w:val="20"/>
                <w:lang w:val="ru-RU"/>
              </w:rPr>
              <w:t xml:space="preserve"> </w:t>
            </w:r>
            <w:proofErr w:type="spellStart"/>
            <w:r w:rsidRPr="00C9766A">
              <w:rPr>
                <w:snapToGrid w:val="0"/>
                <w:kern w:val="22"/>
                <w:sz w:val="20"/>
                <w:szCs w:val="20"/>
                <w:lang w:val="ru-RU"/>
              </w:rPr>
              <w:t>Мидделгрунд</w:t>
            </w:r>
            <w:proofErr w:type="spellEnd"/>
            <w:r w:rsidRPr="00C9766A">
              <w:rPr>
                <w:snapToGrid w:val="0"/>
                <w:kern w:val="22"/>
                <w:sz w:val="20"/>
                <w:szCs w:val="20"/>
                <w:lang w:val="ru-RU"/>
              </w:rPr>
              <w:t xml:space="preserve">), описанный в региональном семинаре КБР по ЭБЗР по Балтийскому морю </w:t>
            </w:r>
            <w:r w:rsidRPr="00C9766A">
              <w:rPr>
                <w:rFonts w:eastAsia="MS Mincho"/>
                <w:sz w:val="20"/>
                <w:szCs w:val="20"/>
                <w:lang w:val="ru-RU"/>
              </w:rPr>
              <w:t xml:space="preserve">(доклад семинара можно посмотреть по адресу: </w:t>
            </w:r>
            <w:hyperlink r:id="rId29" w:history="1">
              <w:r w:rsidRPr="003D4111">
                <w:rPr>
                  <w:rStyle w:val="Lienhypertexte"/>
                  <w:sz w:val="20"/>
                  <w:szCs w:val="20"/>
                </w:rPr>
                <w:t>https</w:t>
              </w:r>
              <w:r w:rsidRPr="00C9766A">
                <w:rPr>
                  <w:rStyle w:val="Lienhypertexte"/>
                  <w:sz w:val="20"/>
                  <w:szCs w:val="20"/>
                  <w:lang w:val="ru-RU"/>
                </w:rPr>
                <w:t>://</w:t>
              </w:r>
              <w:r w:rsidRPr="003D4111">
                <w:rPr>
                  <w:rStyle w:val="Lienhypertexte"/>
                  <w:sz w:val="20"/>
                  <w:szCs w:val="20"/>
                </w:rPr>
                <w:t>www</w:t>
              </w:r>
              <w:r w:rsidRPr="00C9766A">
                <w:rPr>
                  <w:rStyle w:val="Lienhypertexte"/>
                  <w:sz w:val="20"/>
                  <w:szCs w:val="20"/>
                  <w:lang w:val="ru-RU"/>
                </w:rPr>
                <w:t>.</w:t>
              </w:r>
              <w:proofErr w:type="spellStart"/>
              <w:r w:rsidRPr="003D4111">
                <w:rPr>
                  <w:rStyle w:val="Lienhypertexte"/>
                  <w:sz w:val="20"/>
                  <w:szCs w:val="20"/>
                </w:rPr>
                <w:t>cbd</w:t>
              </w:r>
              <w:proofErr w:type="spellEnd"/>
              <w:r w:rsidRPr="00C9766A">
                <w:rPr>
                  <w:rStyle w:val="Lienhypertexte"/>
                  <w:sz w:val="20"/>
                  <w:szCs w:val="20"/>
                  <w:lang w:val="ru-RU"/>
                </w:rPr>
                <w:t>.</w:t>
              </w:r>
              <w:proofErr w:type="spellStart"/>
              <w:r w:rsidRPr="003D4111">
                <w:rPr>
                  <w:rStyle w:val="Lienhypertexte"/>
                  <w:sz w:val="20"/>
                  <w:szCs w:val="20"/>
                </w:rPr>
                <w:t>int</w:t>
              </w:r>
              <w:proofErr w:type="spellEnd"/>
              <w:r w:rsidRPr="00C9766A">
                <w:rPr>
                  <w:rStyle w:val="Lienhypertexte"/>
                  <w:sz w:val="20"/>
                  <w:szCs w:val="20"/>
                  <w:lang w:val="ru-RU"/>
                </w:rPr>
                <w:t>/</w:t>
              </w:r>
              <w:r w:rsidRPr="003D4111">
                <w:rPr>
                  <w:rStyle w:val="Lienhypertexte"/>
                  <w:sz w:val="20"/>
                  <w:szCs w:val="20"/>
                </w:rPr>
                <w:t>doc</w:t>
              </w:r>
              <w:r w:rsidRPr="00C9766A">
                <w:rPr>
                  <w:rStyle w:val="Lienhypertexte"/>
                  <w:sz w:val="20"/>
                  <w:szCs w:val="20"/>
                  <w:lang w:val="ru-RU"/>
                </w:rPr>
                <w:t>/</w:t>
              </w:r>
              <w:r w:rsidRPr="003D4111">
                <w:rPr>
                  <w:rStyle w:val="Lienhypertexte"/>
                  <w:sz w:val="20"/>
                  <w:szCs w:val="20"/>
                </w:rPr>
                <w:t>c</w:t>
              </w:r>
              <w:r w:rsidRPr="00C9766A">
                <w:rPr>
                  <w:rStyle w:val="Lienhypertexte"/>
                  <w:sz w:val="20"/>
                  <w:szCs w:val="20"/>
                  <w:lang w:val="ru-RU"/>
                </w:rPr>
                <w:t>/</w:t>
              </w:r>
              <w:proofErr w:type="spellStart"/>
              <w:r w:rsidRPr="003D4111">
                <w:rPr>
                  <w:rStyle w:val="Lienhypertexte"/>
                  <w:sz w:val="20"/>
                  <w:szCs w:val="20"/>
                </w:rPr>
                <w:t>aa</w:t>
              </w:r>
              <w:proofErr w:type="spellEnd"/>
              <w:r w:rsidRPr="00C9766A">
                <w:rPr>
                  <w:rStyle w:val="Lienhypertexte"/>
                  <w:sz w:val="20"/>
                  <w:szCs w:val="20"/>
                  <w:lang w:val="ru-RU"/>
                </w:rPr>
                <w:t>9</w:t>
              </w:r>
              <w:r w:rsidRPr="003D4111">
                <w:rPr>
                  <w:rStyle w:val="Lienhypertexte"/>
                  <w:sz w:val="20"/>
                  <w:szCs w:val="20"/>
                </w:rPr>
                <w:t>a</w:t>
              </w:r>
              <w:r w:rsidRPr="00C9766A">
                <w:rPr>
                  <w:rStyle w:val="Lienhypertexte"/>
                  <w:sz w:val="20"/>
                  <w:szCs w:val="20"/>
                  <w:lang w:val="ru-RU"/>
                </w:rPr>
                <w:t>/</w:t>
              </w:r>
              <w:proofErr w:type="spellStart"/>
              <w:r w:rsidRPr="003D4111">
                <w:rPr>
                  <w:rStyle w:val="Lienhypertexte"/>
                  <w:sz w:val="20"/>
                  <w:szCs w:val="20"/>
                </w:rPr>
                <w:t>bde</w:t>
              </w:r>
              <w:proofErr w:type="spellEnd"/>
              <w:r w:rsidRPr="00C9766A">
                <w:rPr>
                  <w:rStyle w:val="Lienhypertexte"/>
                  <w:sz w:val="20"/>
                  <w:szCs w:val="20"/>
                  <w:lang w:val="ru-RU"/>
                </w:rPr>
                <w:t>9/</w:t>
              </w:r>
              <w:proofErr w:type="spellStart"/>
              <w:r w:rsidRPr="003D4111">
                <w:rPr>
                  <w:rStyle w:val="Lienhypertexte"/>
                  <w:sz w:val="20"/>
                  <w:szCs w:val="20"/>
                </w:rPr>
                <w:t>eaf</w:t>
              </w:r>
              <w:proofErr w:type="spellEnd"/>
              <w:r w:rsidRPr="00C9766A">
                <w:rPr>
                  <w:rStyle w:val="Lienhypertexte"/>
                  <w:sz w:val="20"/>
                  <w:szCs w:val="20"/>
                  <w:lang w:val="ru-RU"/>
                </w:rPr>
                <w:t>24</w:t>
              </w:r>
              <w:r w:rsidRPr="003D4111">
                <w:rPr>
                  <w:rStyle w:val="Lienhypertexte"/>
                  <w:sz w:val="20"/>
                  <w:szCs w:val="20"/>
                </w:rPr>
                <w:t>f</w:t>
              </w:r>
              <w:r w:rsidRPr="00C9766A">
                <w:rPr>
                  <w:rStyle w:val="Lienhypertexte"/>
                  <w:sz w:val="20"/>
                  <w:szCs w:val="20"/>
                  <w:lang w:val="ru-RU"/>
                </w:rPr>
                <w:t>73</w:t>
              </w:r>
              <w:proofErr w:type="spellStart"/>
              <w:r w:rsidRPr="003D4111">
                <w:rPr>
                  <w:rStyle w:val="Lienhypertexte"/>
                  <w:sz w:val="20"/>
                  <w:szCs w:val="20"/>
                </w:rPr>
                <w:t>bd</w:t>
              </w:r>
              <w:proofErr w:type="spellEnd"/>
              <w:r w:rsidRPr="00C9766A">
                <w:rPr>
                  <w:rStyle w:val="Lienhypertexte"/>
                  <w:sz w:val="20"/>
                  <w:szCs w:val="20"/>
                  <w:lang w:val="ru-RU"/>
                </w:rPr>
                <w:t>471</w:t>
              </w:r>
              <w:r w:rsidRPr="003D4111">
                <w:rPr>
                  <w:rStyle w:val="Lienhypertexte"/>
                  <w:sz w:val="20"/>
                  <w:szCs w:val="20"/>
                </w:rPr>
                <w:t>d</w:t>
              </w:r>
              <w:r w:rsidRPr="00C9766A">
                <w:rPr>
                  <w:rStyle w:val="Lienhypertexte"/>
                  <w:sz w:val="20"/>
                  <w:szCs w:val="20"/>
                  <w:lang w:val="ru-RU"/>
                </w:rPr>
                <w:t>64</w:t>
              </w:r>
              <w:r w:rsidRPr="003D4111">
                <w:rPr>
                  <w:rStyle w:val="Lienhypertexte"/>
                  <w:sz w:val="20"/>
                  <w:szCs w:val="20"/>
                </w:rPr>
                <w:t>e</w:t>
              </w:r>
              <w:r w:rsidRPr="00C9766A">
                <w:rPr>
                  <w:rStyle w:val="Lienhypertexte"/>
                  <w:sz w:val="20"/>
                  <w:szCs w:val="20"/>
                  <w:lang w:val="ru-RU"/>
                </w:rPr>
                <w:t>8094722/</w:t>
              </w:r>
              <w:proofErr w:type="spellStart"/>
              <w:r w:rsidRPr="003D4111">
                <w:rPr>
                  <w:rStyle w:val="Lienhypertexte"/>
                  <w:sz w:val="20"/>
                  <w:szCs w:val="20"/>
                </w:rPr>
                <w:t>ebsa</w:t>
              </w:r>
              <w:proofErr w:type="spellEnd"/>
              <w:r w:rsidRPr="00C9766A">
                <w:rPr>
                  <w:rStyle w:val="Lienhypertexte"/>
                  <w:sz w:val="20"/>
                  <w:szCs w:val="20"/>
                  <w:lang w:val="ru-RU"/>
                </w:rPr>
                <w:t>-</w:t>
              </w:r>
              <w:proofErr w:type="spellStart"/>
              <w:r w:rsidRPr="003D4111">
                <w:rPr>
                  <w:rStyle w:val="Lienhypertexte"/>
                  <w:sz w:val="20"/>
                  <w:szCs w:val="20"/>
                </w:rPr>
                <w:t>ws</w:t>
              </w:r>
              <w:proofErr w:type="spellEnd"/>
              <w:r w:rsidRPr="00C9766A">
                <w:rPr>
                  <w:rStyle w:val="Lienhypertexte"/>
                  <w:sz w:val="20"/>
                  <w:szCs w:val="20"/>
                  <w:lang w:val="ru-RU"/>
                </w:rPr>
                <w:t>-2018-01-04-</w:t>
              </w:r>
              <w:r w:rsidRPr="003D4111">
                <w:rPr>
                  <w:rStyle w:val="Lienhypertexte"/>
                  <w:sz w:val="20"/>
                  <w:szCs w:val="20"/>
                </w:rPr>
                <w:t>en</w:t>
              </w:r>
              <w:r w:rsidRPr="00C9766A">
                <w:rPr>
                  <w:rStyle w:val="Lienhypertexte"/>
                  <w:sz w:val="20"/>
                  <w:szCs w:val="20"/>
                  <w:lang w:val="ru-RU"/>
                </w:rPr>
                <w:t>.</w:t>
              </w:r>
              <w:proofErr w:type="spellStart"/>
              <w:r w:rsidRPr="003D4111">
                <w:rPr>
                  <w:rStyle w:val="Lienhypertexte"/>
                  <w:sz w:val="20"/>
                  <w:szCs w:val="20"/>
                </w:rPr>
                <w:t>pdf</w:t>
              </w:r>
              <w:proofErr w:type="spellEnd"/>
            </w:hyperlink>
            <w:r w:rsidRPr="00C9766A">
              <w:rPr>
                <w:sz w:val="20"/>
                <w:szCs w:val="20"/>
                <w:lang w:val="ru-RU"/>
              </w:rPr>
              <w:t>)</w:t>
            </w:r>
            <w:r w:rsidRPr="00C9766A">
              <w:rPr>
                <w:snapToGrid w:val="0"/>
                <w:kern w:val="22"/>
                <w:sz w:val="20"/>
                <w:szCs w:val="20"/>
                <w:lang w:val="ru-RU"/>
              </w:rPr>
              <w:t>.</w:t>
            </w:r>
          </w:p>
          <w:p w:rsidR="004A39AD" w:rsidRPr="00C9766A" w:rsidRDefault="004A39AD" w:rsidP="004A39AD">
            <w:pPr>
              <w:numPr>
                <w:ilvl w:val="0"/>
                <w:numId w:val="22"/>
              </w:numPr>
              <w:suppressLineNumbers/>
              <w:suppressAutoHyphens/>
              <w:kinsoku w:val="0"/>
              <w:overflowPunct w:val="0"/>
              <w:autoSpaceDE w:val="0"/>
              <w:autoSpaceDN w:val="0"/>
              <w:rPr>
                <w:snapToGrid w:val="0"/>
                <w:kern w:val="22"/>
                <w:sz w:val="20"/>
                <w:szCs w:val="20"/>
                <w:lang w:val="ru-RU"/>
              </w:rPr>
            </w:pPr>
            <w:r w:rsidRPr="00C9766A">
              <w:rPr>
                <w:snapToGrid w:val="0"/>
                <w:kern w:val="22"/>
                <w:sz w:val="20"/>
                <w:szCs w:val="20"/>
                <w:lang w:val="ru-RU"/>
              </w:rPr>
              <w:t xml:space="preserve">Ландшафт датской части Каттегата состоит из мелководных песчаных отмелей, мутных глубоководных каналов и участков с валунными и кипящими рифами. Район отличается разнообразием орнитофауны с элементами пелагической среды в Северном море и зимующими птицами из мест гнездования в Российской Федерации и Скандинавии. Некоторые части района труднодоступны для человеческой деятельности и, таким образом, являются ценными местами линьки для нырковых уток, например, синьги и турпана. Район также является местом встречи для двух групп популяции обыкновенной морской свиньи. Здесь находятся луга </w:t>
            </w:r>
            <w:proofErr w:type="spellStart"/>
            <w:r w:rsidRPr="00C9766A">
              <w:rPr>
                <w:snapToGrid w:val="0"/>
                <w:kern w:val="22"/>
                <w:sz w:val="20"/>
                <w:szCs w:val="20"/>
                <w:lang w:val="ru-RU"/>
              </w:rPr>
              <w:t>взморника</w:t>
            </w:r>
            <w:proofErr w:type="spellEnd"/>
            <w:r w:rsidRPr="00C9766A">
              <w:rPr>
                <w:snapToGrid w:val="0"/>
                <w:kern w:val="22"/>
                <w:sz w:val="20"/>
                <w:szCs w:val="20"/>
                <w:lang w:val="ru-RU"/>
              </w:rPr>
              <w:t xml:space="preserve">, хотя по площади они меньше, чем в 1900 году. Леса морских водорослей и богатая фауна встречаются на валунных и кипящих рифах, а среда бентосной фауны обладает высокой биомассой. Скопления </w:t>
            </w:r>
            <w:proofErr w:type="spellStart"/>
            <w:r w:rsidRPr="00C9766A">
              <w:rPr>
                <w:snapToGrid w:val="0"/>
                <w:kern w:val="22"/>
                <w:sz w:val="20"/>
                <w:szCs w:val="20"/>
                <w:lang w:val="ru-RU"/>
              </w:rPr>
              <w:t>модиолуса</w:t>
            </w:r>
            <w:proofErr w:type="spellEnd"/>
            <w:r w:rsidRPr="00C9766A">
              <w:rPr>
                <w:snapToGrid w:val="0"/>
                <w:kern w:val="22"/>
                <w:sz w:val="20"/>
                <w:szCs w:val="20"/>
                <w:lang w:val="ru-RU"/>
              </w:rPr>
              <w:t xml:space="preserve"> встречаются в основном в южной части Каттегата, где они образуют биогенный состав рифа. </w:t>
            </w:r>
            <w:proofErr w:type="spellStart"/>
            <w:r w:rsidRPr="003D4111">
              <w:rPr>
                <w:i/>
                <w:iCs/>
                <w:snapToGrid w:val="0"/>
                <w:kern w:val="22"/>
                <w:sz w:val="20"/>
                <w:szCs w:val="20"/>
              </w:rPr>
              <w:t>Haploops</w:t>
            </w:r>
            <w:proofErr w:type="spellEnd"/>
            <w:r w:rsidRPr="00C9766A">
              <w:rPr>
                <w:i/>
                <w:iCs/>
                <w:snapToGrid w:val="0"/>
                <w:kern w:val="22"/>
                <w:sz w:val="20"/>
                <w:szCs w:val="20"/>
                <w:lang w:val="ru-RU"/>
              </w:rPr>
              <w:t xml:space="preserve"> </w:t>
            </w:r>
            <w:proofErr w:type="spellStart"/>
            <w:r w:rsidRPr="003D4111">
              <w:rPr>
                <w:i/>
                <w:iCs/>
                <w:snapToGrid w:val="0"/>
                <w:kern w:val="22"/>
                <w:sz w:val="20"/>
                <w:szCs w:val="20"/>
              </w:rPr>
              <w:t>tubicola</w:t>
            </w:r>
            <w:proofErr w:type="spellEnd"/>
            <w:r w:rsidRPr="00C9766A">
              <w:rPr>
                <w:snapToGrid w:val="0"/>
                <w:kern w:val="22"/>
                <w:sz w:val="20"/>
                <w:szCs w:val="20"/>
                <w:lang w:val="ru-RU"/>
              </w:rPr>
              <w:t>, небольшая разновидность ракообразных, присутствует в этом районе, но больше не образует особую среду обитания с высокой плотностью.</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M</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M</w:t>
            </w:r>
          </w:p>
        </w:tc>
        <w:tc>
          <w:tcPr>
            <w:tcW w:w="507"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M</w:t>
            </w:r>
          </w:p>
        </w:tc>
      </w:tr>
      <w:tr w:rsidR="004A39AD" w:rsidRPr="003D4111" w:rsidTr="00940363">
        <w:tc>
          <w:tcPr>
            <w:tcW w:w="9687" w:type="dxa"/>
            <w:tcBorders>
              <w:top w:val="single" w:sz="4" w:space="0" w:color="auto"/>
              <w:left w:val="single" w:sz="4" w:space="0" w:color="auto"/>
              <w:bottom w:val="single" w:sz="4" w:space="0" w:color="auto"/>
              <w:right w:val="single" w:sz="4" w:space="0" w:color="auto"/>
            </w:tcBorders>
            <w:hideMark/>
          </w:tcPr>
          <w:p w:rsidR="004A39AD" w:rsidRPr="00C9766A" w:rsidRDefault="004A39AD" w:rsidP="00940363">
            <w:pPr>
              <w:keepNext/>
              <w:suppressLineNumbers/>
              <w:suppressAutoHyphens/>
              <w:kinsoku w:val="0"/>
              <w:overflowPunct w:val="0"/>
              <w:autoSpaceDE w:val="0"/>
              <w:autoSpaceDN w:val="0"/>
              <w:spacing w:before="120" w:after="120"/>
              <w:rPr>
                <w:b/>
                <w:snapToGrid w:val="0"/>
                <w:kern w:val="22"/>
                <w:sz w:val="20"/>
                <w:szCs w:val="20"/>
                <w:lang w:val="ru-RU"/>
              </w:rPr>
            </w:pPr>
            <w:r w:rsidRPr="00C9766A">
              <w:rPr>
                <w:b/>
                <w:snapToGrid w:val="0"/>
                <w:kern w:val="22"/>
                <w:sz w:val="20"/>
                <w:szCs w:val="20"/>
                <w:lang w:val="ru-RU"/>
              </w:rPr>
              <w:t xml:space="preserve">3. </w:t>
            </w:r>
            <w:proofErr w:type="spellStart"/>
            <w:r w:rsidRPr="00C9766A">
              <w:rPr>
                <w:b/>
                <w:bCs/>
                <w:snapToGrid w:val="0"/>
                <w:sz w:val="20"/>
                <w:szCs w:val="20"/>
                <w:lang w:val="ru-RU"/>
              </w:rPr>
              <w:t>Кантабрийское</w:t>
            </w:r>
            <w:proofErr w:type="spellEnd"/>
            <w:r w:rsidRPr="00C9766A">
              <w:rPr>
                <w:b/>
                <w:bCs/>
                <w:snapToGrid w:val="0"/>
                <w:sz w:val="20"/>
                <w:szCs w:val="20"/>
                <w:lang w:val="ru-RU"/>
              </w:rPr>
              <w:t xml:space="preserve"> море (Южная часть Бискайского залива)</w:t>
            </w:r>
          </w:p>
          <w:p w:rsidR="004A39AD" w:rsidRPr="00C9766A" w:rsidRDefault="004A39AD" w:rsidP="004A39AD">
            <w:pPr>
              <w:numPr>
                <w:ilvl w:val="0"/>
                <w:numId w:val="23"/>
              </w:numPr>
              <w:suppressLineNumbers/>
              <w:suppressAutoHyphens/>
              <w:kinsoku w:val="0"/>
              <w:overflowPunct w:val="0"/>
              <w:autoSpaceDE w:val="0"/>
              <w:autoSpaceDN w:val="0"/>
              <w:adjustRightInd w:val="0"/>
              <w:snapToGrid w:val="0"/>
              <w:jc w:val="left"/>
              <w:rPr>
                <w:sz w:val="20"/>
                <w:szCs w:val="20"/>
                <w:lang w:val="ru-RU"/>
              </w:rPr>
            </w:pPr>
            <w:r w:rsidRPr="00C9766A">
              <w:rPr>
                <w:sz w:val="20"/>
                <w:szCs w:val="20"/>
                <w:lang w:val="ru-RU"/>
              </w:rPr>
              <w:t xml:space="preserve">Местонахождение: Район расположен на юге Бискайского залива и очерчен параллелями 43º 25' </w:t>
            </w:r>
            <w:proofErr w:type="spellStart"/>
            <w:r w:rsidRPr="00C9766A">
              <w:rPr>
                <w:sz w:val="20"/>
                <w:szCs w:val="20"/>
                <w:lang w:val="ru-RU"/>
              </w:rPr>
              <w:t>с.ш</w:t>
            </w:r>
            <w:proofErr w:type="spellEnd"/>
            <w:r w:rsidRPr="00C9766A">
              <w:rPr>
                <w:sz w:val="20"/>
                <w:szCs w:val="20"/>
                <w:lang w:val="ru-RU"/>
              </w:rPr>
              <w:t xml:space="preserve">. и 45º 00' </w:t>
            </w:r>
            <w:proofErr w:type="spellStart"/>
            <w:r w:rsidRPr="00C9766A">
              <w:rPr>
                <w:sz w:val="20"/>
                <w:szCs w:val="20"/>
                <w:lang w:val="ru-RU"/>
              </w:rPr>
              <w:t>с.ш</w:t>
            </w:r>
            <w:proofErr w:type="spellEnd"/>
            <w:r w:rsidRPr="00C9766A">
              <w:rPr>
                <w:sz w:val="20"/>
                <w:szCs w:val="20"/>
                <w:lang w:val="ru-RU"/>
              </w:rPr>
              <w:t xml:space="preserve">. и меридианами 2º 10' </w:t>
            </w:r>
            <w:proofErr w:type="spellStart"/>
            <w:r w:rsidRPr="00C9766A">
              <w:rPr>
                <w:sz w:val="20"/>
                <w:szCs w:val="20"/>
                <w:lang w:val="ru-RU"/>
              </w:rPr>
              <w:t>з.д</w:t>
            </w:r>
            <w:proofErr w:type="spellEnd"/>
            <w:r w:rsidRPr="00C9766A">
              <w:rPr>
                <w:sz w:val="20"/>
                <w:szCs w:val="20"/>
                <w:lang w:val="ru-RU"/>
              </w:rPr>
              <w:t xml:space="preserve">. и 7º 00' </w:t>
            </w:r>
            <w:proofErr w:type="spellStart"/>
            <w:r w:rsidRPr="00C9766A">
              <w:rPr>
                <w:sz w:val="20"/>
                <w:szCs w:val="20"/>
                <w:lang w:val="ru-RU"/>
              </w:rPr>
              <w:t>з.д</w:t>
            </w:r>
            <w:proofErr w:type="spellEnd"/>
            <w:r w:rsidRPr="00C9766A">
              <w:rPr>
                <w:sz w:val="20"/>
                <w:szCs w:val="20"/>
                <w:lang w:val="ru-RU"/>
              </w:rPr>
              <w:t>. Лежащие в основе описания этого района компоненты простираются на восток и север и выходят за пределы границ, описанных в настоящее время.</w:t>
            </w:r>
          </w:p>
          <w:p w:rsidR="004A39AD" w:rsidRPr="00C9766A" w:rsidRDefault="004A39AD" w:rsidP="004A39AD">
            <w:pPr>
              <w:numPr>
                <w:ilvl w:val="0"/>
                <w:numId w:val="23"/>
              </w:numPr>
              <w:suppressLineNumbers/>
              <w:suppressAutoHyphens/>
              <w:kinsoku w:val="0"/>
              <w:overflowPunct w:val="0"/>
              <w:autoSpaceDE w:val="0"/>
              <w:autoSpaceDN w:val="0"/>
              <w:adjustRightInd w:val="0"/>
              <w:snapToGrid w:val="0"/>
              <w:rPr>
                <w:snapToGrid w:val="0"/>
                <w:color w:val="000000"/>
                <w:kern w:val="22"/>
                <w:sz w:val="20"/>
                <w:szCs w:val="20"/>
                <w:lang w:val="ru-RU"/>
              </w:rPr>
            </w:pPr>
            <w:r w:rsidRPr="00C9766A">
              <w:rPr>
                <w:sz w:val="20"/>
                <w:szCs w:val="20"/>
                <w:lang w:val="ru-RU"/>
              </w:rPr>
              <w:t xml:space="preserve">Экосистема </w:t>
            </w:r>
            <w:proofErr w:type="spellStart"/>
            <w:r w:rsidRPr="00C9766A">
              <w:rPr>
                <w:sz w:val="20"/>
                <w:szCs w:val="20"/>
                <w:lang w:val="ru-RU"/>
              </w:rPr>
              <w:t>Кантабрийского</w:t>
            </w:r>
            <w:proofErr w:type="spellEnd"/>
            <w:r w:rsidRPr="00C9766A">
              <w:rPr>
                <w:sz w:val="20"/>
                <w:szCs w:val="20"/>
                <w:lang w:val="ru-RU"/>
              </w:rPr>
              <w:t xml:space="preserve"> моря включает в себя континентальный шельф и склон, а также глубокий абиссальный бассейн (глубина воды достигает 5000 м), расположенный вдоль северной границы Пиренейского полуострова (южная часть Бискайского залива), от вершины подводного каньона </w:t>
            </w:r>
            <w:proofErr w:type="spellStart"/>
            <w:r w:rsidRPr="00C9766A">
              <w:rPr>
                <w:sz w:val="20"/>
                <w:szCs w:val="20"/>
                <w:lang w:val="ru-RU"/>
              </w:rPr>
              <w:t>Капбретон</w:t>
            </w:r>
            <w:proofErr w:type="spellEnd"/>
            <w:r w:rsidRPr="00C9766A">
              <w:rPr>
                <w:sz w:val="20"/>
                <w:szCs w:val="20"/>
                <w:lang w:val="ru-RU"/>
              </w:rPr>
              <w:t xml:space="preserve"> до мыса </w:t>
            </w:r>
            <w:proofErr w:type="spellStart"/>
            <w:r w:rsidRPr="00C9766A">
              <w:rPr>
                <w:sz w:val="20"/>
                <w:szCs w:val="20"/>
                <w:lang w:val="ru-RU"/>
              </w:rPr>
              <w:t>Эстака-де-Барес</w:t>
            </w:r>
            <w:proofErr w:type="spellEnd"/>
            <w:r w:rsidRPr="00C9766A">
              <w:rPr>
                <w:sz w:val="20"/>
                <w:szCs w:val="20"/>
                <w:lang w:val="ru-RU"/>
              </w:rPr>
              <w:t xml:space="preserve"> на Галисийском побережье. Это очень сложный район, где узкий континентальный шельф сильно подвержен влиянию тектонического сжатия. Он состоит из важных геоморфологических элементов, например, больших подводных каньонов и гор. Гидрология также сложна из-за взаимодействия между водами, образовавшимися в Атлантике, и водами средиземноморского происхождения. Этот район включает в себя различные бентосные места обитания, в том числе места обитания, которые считаются очагами биоразнообразия. Эти места обитания являются нерестилищами для нескольких коммерческих видов. Район также содержит места обитания </w:t>
            </w:r>
            <w:r w:rsidRPr="00C9766A">
              <w:rPr>
                <w:bCs/>
                <w:color w:val="000000"/>
                <w:sz w:val="20"/>
                <w:szCs w:val="20"/>
                <w:lang w:val="ru-RU"/>
              </w:rPr>
              <w:t>угрожаемых, находящихся под угрозой исчезновения или исчезающих</w:t>
            </w:r>
            <w:r w:rsidRPr="00C9766A">
              <w:rPr>
                <w:sz w:val="20"/>
                <w:szCs w:val="20"/>
                <w:lang w:val="ru-RU"/>
              </w:rPr>
              <w:t xml:space="preserve"> мигрирующих пелагических видов, включая китообразных.</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7"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L</w:t>
            </w:r>
          </w:p>
        </w:tc>
      </w:tr>
      <w:tr w:rsidR="004A39AD" w:rsidRPr="003D4111" w:rsidTr="00940363">
        <w:tc>
          <w:tcPr>
            <w:tcW w:w="9687" w:type="dxa"/>
            <w:tcBorders>
              <w:top w:val="single" w:sz="4" w:space="0" w:color="auto"/>
              <w:left w:val="single" w:sz="4" w:space="0" w:color="auto"/>
              <w:bottom w:val="single" w:sz="4" w:space="0" w:color="auto"/>
              <w:right w:val="single" w:sz="4" w:space="0" w:color="auto"/>
            </w:tcBorders>
            <w:hideMark/>
          </w:tcPr>
          <w:p w:rsidR="004A39AD" w:rsidRPr="003D4111" w:rsidRDefault="004A39AD" w:rsidP="00940363">
            <w:pPr>
              <w:suppressLineNumbers/>
              <w:suppressAutoHyphens/>
              <w:kinsoku w:val="0"/>
              <w:overflowPunct w:val="0"/>
              <w:autoSpaceDE w:val="0"/>
              <w:autoSpaceDN w:val="0"/>
              <w:snapToGrid w:val="0"/>
              <w:rPr>
                <w:b/>
                <w:snapToGrid w:val="0"/>
                <w:kern w:val="22"/>
                <w:sz w:val="20"/>
                <w:szCs w:val="20"/>
              </w:rPr>
            </w:pPr>
            <w:r w:rsidRPr="003D4111">
              <w:rPr>
                <w:b/>
                <w:snapToGrid w:val="0"/>
                <w:kern w:val="22"/>
                <w:sz w:val="20"/>
                <w:szCs w:val="20"/>
              </w:rPr>
              <w:t xml:space="preserve">4. </w:t>
            </w:r>
            <w:proofErr w:type="spellStart"/>
            <w:r w:rsidRPr="003D4111">
              <w:rPr>
                <w:b/>
                <w:snapToGrid w:val="0"/>
                <w:kern w:val="22"/>
                <w:sz w:val="20"/>
                <w:szCs w:val="20"/>
              </w:rPr>
              <w:t>Западно-пиренейские</w:t>
            </w:r>
            <w:proofErr w:type="spellEnd"/>
            <w:r w:rsidRPr="003D4111">
              <w:rPr>
                <w:b/>
                <w:snapToGrid w:val="0"/>
                <w:kern w:val="22"/>
                <w:sz w:val="20"/>
                <w:szCs w:val="20"/>
              </w:rPr>
              <w:t xml:space="preserve"> </w:t>
            </w:r>
            <w:proofErr w:type="spellStart"/>
            <w:r w:rsidRPr="003D4111">
              <w:rPr>
                <w:b/>
                <w:snapToGrid w:val="0"/>
                <w:kern w:val="22"/>
                <w:sz w:val="20"/>
                <w:szCs w:val="20"/>
              </w:rPr>
              <w:t>каньоны</w:t>
            </w:r>
            <w:proofErr w:type="spellEnd"/>
            <w:r w:rsidRPr="003D4111">
              <w:rPr>
                <w:b/>
                <w:snapToGrid w:val="0"/>
                <w:kern w:val="22"/>
                <w:sz w:val="20"/>
                <w:szCs w:val="20"/>
              </w:rPr>
              <w:t xml:space="preserve"> и </w:t>
            </w:r>
            <w:proofErr w:type="spellStart"/>
            <w:r w:rsidRPr="003D4111">
              <w:rPr>
                <w:b/>
                <w:snapToGrid w:val="0"/>
                <w:kern w:val="22"/>
                <w:sz w:val="20"/>
                <w:szCs w:val="20"/>
              </w:rPr>
              <w:t>банки</w:t>
            </w:r>
            <w:proofErr w:type="spellEnd"/>
            <w:r w:rsidRPr="003D4111">
              <w:rPr>
                <w:b/>
                <w:snapToGrid w:val="0"/>
                <w:kern w:val="22"/>
                <w:sz w:val="20"/>
                <w:szCs w:val="20"/>
              </w:rPr>
              <w:t xml:space="preserve"> </w:t>
            </w:r>
          </w:p>
          <w:p w:rsidR="004A39AD" w:rsidRPr="00C9766A" w:rsidRDefault="004A39AD" w:rsidP="004A39AD">
            <w:pPr>
              <w:numPr>
                <w:ilvl w:val="0"/>
                <w:numId w:val="24"/>
              </w:numPr>
              <w:suppressLineNumbers/>
              <w:suppressAutoHyphens/>
              <w:kinsoku w:val="0"/>
              <w:overflowPunct w:val="0"/>
              <w:autoSpaceDE w:val="0"/>
              <w:autoSpaceDN w:val="0"/>
              <w:ind w:left="395"/>
              <w:contextualSpacing/>
              <w:rPr>
                <w:snapToGrid w:val="0"/>
                <w:kern w:val="22"/>
                <w:sz w:val="20"/>
                <w:szCs w:val="20"/>
                <w:lang w:val="ru-RU"/>
              </w:rPr>
            </w:pPr>
            <w:r w:rsidRPr="00C9766A">
              <w:rPr>
                <w:sz w:val="20"/>
                <w:szCs w:val="20"/>
                <w:lang w:val="ru-RU"/>
              </w:rPr>
              <w:t>Местонахождение</w:t>
            </w:r>
            <w:r w:rsidRPr="00C9766A">
              <w:rPr>
                <w:snapToGrid w:val="0"/>
                <w:kern w:val="22"/>
                <w:sz w:val="20"/>
                <w:szCs w:val="20"/>
                <w:lang w:val="ru-RU"/>
              </w:rPr>
              <w:t>: Район расположен в водах, окружающих Португалию и Испанию. Его общая площадь составляет 189 239 км</w:t>
            </w:r>
            <w:r w:rsidRPr="00C9766A">
              <w:rPr>
                <w:snapToGrid w:val="0"/>
                <w:kern w:val="22"/>
                <w:sz w:val="20"/>
                <w:szCs w:val="20"/>
                <w:vertAlign w:val="superscript"/>
                <w:lang w:val="ru-RU"/>
              </w:rPr>
              <w:t>2</w:t>
            </w:r>
            <w:r w:rsidRPr="00C9766A">
              <w:rPr>
                <w:snapToGrid w:val="0"/>
                <w:kern w:val="22"/>
                <w:sz w:val="20"/>
                <w:szCs w:val="20"/>
                <w:lang w:val="ru-RU"/>
              </w:rPr>
              <w:t xml:space="preserve"> и разделена на три части: северо-западная, центрально-западная и юго-западная части Пиренейского полуострова. Район включает в себя 12 подводных каньонов, пять систем подводных гор, банки, острова и архипелаг. </w:t>
            </w:r>
          </w:p>
          <w:p w:rsidR="004A39AD" w:rsidRPr="00C9766A" w:rsidRDefault="004A39AD" w:rsidP="004A39AD">
            <w:pPr>
              <w:numPr>
                <w:ilvl w:val="0"/>
                <w:numId w:val="24"/>
              </w:numPr>
              <w:suppressLineNumbers/>
              <w:suppressAutoHyphens/>
              <w:kinsoku w:val="0"/>
              <w:overflowPunct w:val="0"/>
              <w:autoSpaceDE w:val="0"/>
              <w:autoSpaceDN w:val="0"/>
              <w:ind w:left="395"/>
              <w:contextualSpacing/>
              <w:rPr>
                <w:snapToGrid w:val="0"/>
                <w:kern w:val="22"/>
                <w:sz w:val="20"/>
                <w:szCs w:val="20"/>
                <w:lang w:val="ru-RU"/>
              </w:rPr>
            </w:pPr>
            <w:r w:rsidRPr="00C9766A">
              <w:rPr>
                <w:snapToGrid w:val="0"/>
                <w:kern w:val="22"/>
                <w:sz w:val="20"/>
                <w:szCs w:val="20"/>
                <w:lang w:val="ru-RU"/>
              </w:rPr>
              <w:t>Район включает в себя морские охраняемые районы (в том числе шесть морских охраняемых районов ОСПАР), один биосферный заповедник ЮНЕСКО, 12 объектов природы в сети «Натура 2000», представляющих общественное значение, и 10 особо охраняемых районов для морских птиц в сети «Натура 2000». Район разделен на три части: северо-западную, центрально-западную и юго-западную. Для этого района характерны очаги морской флоры и фауны, и они представляют собой районы повышенной продуктивности, особенно по сравнению с окружающими районами. Район характеризуется большим разнообразием бентосных сообществ и нерестилищ для нескольких видов и является важным районом для китообразных. Всего в районе насчитывается 3411 видов, 11 процентов из которых охраняются международным или региональным законодательством.</w:t>
            </w:r>
            <w:r w:rsidRPr="00C9766A">
              <w:rPr>
                <w:rFonts w:eastAsia="MS Mincho"/>
                <w:snapToGrid w:val="0"/>
                <w:kern w:val="22"/>
                <w:sz w:val="20"/>
                <w:szCs w:val="20"/>
                <w:lang w:val="ru-RU"/>
              </w:rPr>
              <w:t xml:space="preserve"> </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7"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L</w:t>
            </w:r>
          </w:p>
        </w:tc>
      </w:tr>
      <w:tr w:rsidR="004A39AD" w:rsidRPr="003D4111" w:rsidTr="00940363">
        <w:tc>
          <w:tcPr>
            <w:tcW w:w="9687" w:type="dxa"/>
            <w:tcBorders>
              <w:top w:val="single" w:sz="4" w:space="0" w:color="auto"/>
              <w:left w:val="single" w:sz="4" w:space="0" w:color="auto"/>
              <w:bottom w:val="single" w:sz="4" w:space="0" w:color="auto"/>
              <w:right w:val="single" w:sz="4" w:space="0" w:color="auto"/>
            </w:tcBorders>
            <w:hideMark/>
          </w:tcPr>
          <w:p w:rsidR="004A39AD" w:rsidRPr="003D4111" w:rsidRDefault="004A39AD" w:rsidP="00940363">
            <w:pPr>
              <w:suppressLineNumbers/>
              <w:suppressAutoHyphens/>
              <w:kinsoku w:val="0"/>
              <w:overflowPunct w:val="0"/>
              <w:autoSpaceDE w:val="0"/>
              <w:autoSpaceDN w:val="0"/>
              <w:snapToGrid w:val="0"/>
              <w:rPr>
                <w:b/>
                <w:snapToGrid w:val="0"/>
                <w:kern w:val="22"/>
                <w:sz w:val="20"/>
                <w:szCs w:val="20"/>
              </w:rPr>
            </w:pPr>
            <w:r w:rsidRPr="003D4111">
              <w:rPr>
                <w:b/>
                <w:snapToGrid w:val="0"/>
                <w:kern w:val="22"/>
                <w:sz w:val="20"/>
                <w:szCs w:val="20"/>
              </w:rPr>
              <w:t xml:space="preserve">5. </w:t>
            </w:r>
            <w:proofErr w:type="spellStart"/>
            <w:r w:rsidRPr="003D4111">
              <w:rPr>
                <w:b/>
                <w:snapToGrid w:val="0"/>
                <w:kern w:val="22"/>
                <w:sz w:val="20"/>
                <w:szCs w:val="20"/>
              </w:rPr>
              <w:t>Кадисский</w:t>
            </w:r>
            <w:proofErr w:type="spellEnd"/>
            <w:r w:rsidRPr="003D4111">
              <w:rPr>
                <w:b/>
                <w:snapToGrid w:val="0"/>
                <w:kern w:val="22"/>
                <w:sz w:val="20"/>
                <w:szCs w:val="20"/>
              </w:rPr>
              <w:t xml:space="preserve"> </w:t>
            </w:r>
            <w:proofErr w:type="spellStart"/>
            <w:r w:rsidRPr="003D4111">
              <w:rPr>
                <w:b/>
                <w:snapToGrid w:val="0"/>
                <w:kern w:val="22"/>
                <w:sz w:val="20"/>
                <w:szCs w:val="20"/>
              </w:rPr>
              <w:t>залив</w:t>
            </w:r>
            <w:proofErr w:type="spellEnd"/>
          </w:p>
          <w:p w:rsidR="004A39AD" w:rsidRPr="00C9766A" w:rsidRDefault="004A39AD" w:rsidP="004A39AD">
            <w:pPr>
              <w:numPr>
                <w:ilvl w:val="0"/>
                <w:numId w:val="25"/>
              </w:numPr>
              <w:suppressLineNumbers/>
              <w:suppressAutoHyphens/>
              <w:kinsoku w:val="0"/>
              <w:overflowPunct w:val="0"/>
              <w:autoSpaceDE w:val="0"/>
              <w:autoSpaceDN w:val="0"/>
              <w:snapToGrid w:val="0"/>
              <w:ind w:left="395"/>
              <w:contextualSpacing/>
              <w:rPr>
                <w:rFonts w:eastAsia="MS Mincho"/>
                <w:snapToGrid w:val="0"/>
                <w:kern w:val="22"/>
                <w:sz w:val="20"/>
                <w:szCs w:val="20"/>
                <w:lang w:val="ru-RU"/>
              </w:rPr>
            </w:pPr>
            <w:r w:rsidRPr="00C9766A">
              <w:rPr>
                <w:sz w:val="20"/>
                <w:szCs w:val="20"/>
                <w:lang w:val="ru-RU"/>
              </w:rPr>
              <w:t>Местонахождение</w:t>
            </w:r>
            <w:r w:rsidRPr="00C9766A">
              <w:rPr>
                <w:snapToGrid w:val="0"/>
                <w:kern w:val="22"/>
                <w:sz w:val="20"/>
                <w:szCs w:val="20"/>
                <w:lang w:val="ru-RU"/>
              </w:rPr>
              <w:t xml:space="preserve">: Район расположен к юго-западу от Пиренейского полуострова. Его восточной границей является Гибралтарский пролив, на западной границе Средиземного моря. Район очерчен параллелями (37º 00' </w:t>
            </w:r>
            <w:proofErr w:type="spellStart"/>
            <w:r w:rsidRPr="00C9766A">
              <w:rPr>
                <w:snapToGrid w:val="0"/>
                <w:kern w:val="22"/>
                <w:sz w:val="20"/>
                <w:szCs w:val="20"/>
                <w:lang w:val="ru-RU"/>
              </w:rPr>
              <w:t>с.ш</w:t>
            </w:r>
            <w:proofErr w:type="spellEnd"/>
            <w:r w:rsidRPr="00C9766A">
              <w:rPr>
                <w:snapToGrid w:val="0"/>
                <w:kern w:val="22"/>
                <w:sz w:val="20"/>
                <w:szCs w:val="20"/>
                <w:lang w:val="ru-RU"/>
              </w:rPr>
              <w:t xml:space="preserve">. и 35º 56' </w:t>
            </w:r>
            <w:proofErr w:type="spellStart"/>
            <w:r w:rsidRPr="00C9766A">
              <w:rPr>
                <w:snapToGrid w:val="0"/>
                <w:kern w:val="22"/>
                <w:sz w:val="20"/>
                <w:szCs w:val="20"/>
                <w:lang w:val="ru-RU"/>
              </w:rPr>
              <w:t>с.ш</w:t>
            </w:r>
            <w:proofErr w:type="spellEnd"/>
            <w:r w:rsidRPr="00C9766A">
              <w:rPr>
                <w:snapToGrid w:val="0"/>
                <w:kern w:val="22"/>
                <w:sz w:val="20"/>
                <w:szCs w:val="20"/>
                <w:lang w:val="ru-RU"/>
              </w:rPr>
              <w:t xml:space="preserve">.) и меридианами (6º 00' </w:t>
            </w:r>
            <w:proofErr w:type="spellStart"/>
            <w:r w:rsidRPr="00C9766A">
              <w:rPr>
                <w:snapToGrid w:val="0"/>
                <w:kern w:val="22"/>
                <w:sz w:val="20"/>
                <w:szCs w:val="20"/>
                <w:lang w:val="ru-RU"/>
              </w:rPr>
              <w:t>з.д</w:t>
            </w:r>
            <w:proofErr w:type="spellEnd"/>
            <w:r w:rsidRPr="00C9766A">
              <w:rPr>
                <w:snapToGrid w:val="0"/>
                <w:kern w:val="22"/>
                <w:sz w:val="20"/>
                <w:szCs w:val="20"/>
                <w:lang w:val="ru-RU"/>
              </w:rPr>
              <w:t xml:space="preserve">. и 7º 24' </w:t>
            </w:r>
            <w:proofErr w:type="spellStart"/>
            <w:r w:rsidRPr="00C9766A">
              <w:rPr>
                <w:snapToGrid w:val="0"/>
                <w:kern w:val="22"/>
                <w:sz w:val="20"/>
                <w:szCs w:val="20"/>
                <w:lang w:val="ru-RU"/>
              </w:rPr>
              <w:t>з.д</w:t>
            </w:r>
            <w:proofErr w:type="spellEnd"/>
            <w:r w:rsidRPr="00C9766A">
              <w:rPr>
                <w:snapToGrid w:val="0"/>
                <w:kern w:val="22"/>
                <w:sz w:val="20"/>
                <w:szCs w:val="20"/>
                <w:lang w:val="ru-RU"/>
              </w:rPr>
              <w:t xml:space="preserve">.). </w:t>
            </w:r>
          </w:p>
          <w:p w:rsidR="004A39AD" w:rsidRPr="003D4111" w:rsidRDefault="004A39AD" w:rsidP="004A39AD">
            <w:pPr>
              <w:numPr>
                <w:ilvl w:val="0"/>
                <w:numId w:val="25"/>
              </w:numPr>
              <w:suppressLineNumbers/>
              <w:suppressAutoHyphens/>
              <w:kinsoku w:val="0"/>
              <w:overflowPunct w:val="0"/>
              <w:autoSpaceDE w:val="0"/>
              <w:autoSpaceDN w:val="0"/>
              <w:snapToGrid w:val="0"/>
              <w:ind w:left="395"/>
              <w:contextualSpacing/>
              <w:rPr>
                <w:rFonts w:eastAsia="MS Mincho"/>
                <w:snapToGrid w:val="0"/>
                <w:kern w:val="22"/>
                <w:sz w:val="20"/>
                <w:szCs w:val="20"/>
              </w:rPr>
            </w:pPr>
            <w:r w:rsidRPr="00C9766A">
              <w:rPr>
                <w:snapToGrid w:val="0"/>
                <w:kern w:val="22"/>
                <w:sz w:val="20"/>
                <w:szCs w:val="20"/>
                <w:lang w:val="ru-RU"/>
              </w:rPr>
              <w:t xml:space="preserve">Он имеет очень сложную структуру и состоит из важных геоморфологических элементов, например, больших подводных каньонов и гор. </w:t>
            </w:r>
            <w:r w:rsidRPr="00C9766A">
              <w:rPr>
                <w:sz w:val="20"/>
                <w:szCs w:val="20"/>
                <w:lang w:val="ru-RU"/>
              </w:rPr>
              <w:t>Гидрология также сложна из-за взаимодействия между образовавшимися в Атлантике водами и водами средиземноморского происхождения</w:t>
            </w:r>
            <w:r w:rsidRPr="00C9766A">
              <w:rPr>
                <w:snapToGrid w:val="0"/>
                <w:kern w:val="22"/>
                <w:sz w:val="20"/>
                <w:szCs w:val="20"/>
                <w:lang w:val="ru-RU"/>
              </w:rPr>
              <w:t xml:space="preserve">. Этот район включает в себя различные бентосные места обитания на мягких и каменистых грунтах, которые считаются очагами биоразнообразия и служат различными средами обитания для </w:t>
            </w:r>
            <w:r w:rsidRPr="00C9766A">
              <w:rPr>
                <w:bCs/>
                <w:color w:val="000000"/>
                <w:sz w:val="20"/>
                <w:szCs w:val="20"/>
                <w:lang w:val="ru-RU"/>
              </w:rPr>
              <w:t>угрожаемых, находящихся под угрозой исчезновения или исчезающих видов</w:t>
            </w:r>
            <w:r w:rsidRPr="00C9766A">
              <w:rPr>
                <w:snapToGrid w:val="0"/>
                <w:kern w:val="22"/>
                <w:sz w:val="20"/>
                <w:szCs w:val="20"/>
                <w:lang w:val="ru-RU"/>
              </w:rPr>
              <w:t xml:space="preserve">. Здесь проходит сезонный миграционный путь для крупных мигрирующих пелагических видов. </w:t>
            </w:r>
            <w:r w:rsidRPr="003D4111">
              <w:rPr>
                <w:snapToGrid w:val="0"/>
                <w:kern w:val="22"/>
                <w:sz w:val="20"/>
                <w:szCs w:val="20"/>
              </w:rPr>
              <w:t xml:space="preserve">В </w:t>
            </w:r>
            <w:proofErr w:type="spellStart"/>
            <w:r w:rsidRPr="003D4111">
              <w:rPr>
                <w:snapToGrid w:val="0"/>
                <w:kern w:val="22"/>
                <w:sz w:val="20"/>
                <w:szCs w:val="20"/>
              </w:rPr>
              <w:t>частности</w:t>
            </w:r>
            <w:proofErr w:type="spellEnd"/>
            <w:r w:rsidRPr="003D4111">
              <w:rPr>
                <w:snapToGrid w:val="0"/>
                <w:kern w:val="22"/>
                <w:sz w:val="20"/>
                <w:szCs w:val="20"/>
              </w:rPr>
              <w:t xml:space="preserve">, </w:t>
            </w:r>
            <w:proofErr w:type="spellStart"/>
            <w:r w:rsidRPr="003D4111">
              <w:rPr>
                <w:snapToGrid w:val="0"/>
                <w:kern w:val="22"/>
                <w:sz w:val="20"/>
                <w:szCs w:val="20"/>
              </w:rPr>
              <w:t>район</w:t>
            </w:r>
            <w:proofErr w:type="spellEnd"/>
            <w:r w:rsidRPr="003D4111">
              <w:rPr>
                <w:snapToGrid w:val="0"/>
                <w:kern w:val="22"/>
                <w:sz w:val="20"/>
                <w:szCs w:val="20"/>
              </w:rPr>
              <w:t xml:space="preserve"> </w:t>
            </w:r>
            <w:proofErr w:type="spellStart"/>
            <w:r w:rsidRPr="003D4111">
              <w:rPr>
                <w:snapToGrid w:val="0"/>
                <w:kern w:val="22"/>
                <w:sz w:val="20"/>
                <w:szCs w:val="20"/>
              </w:rPr>
              <w:t>важен</w:t>
            </w:r>
            <w:proofErr w:type="spellEnd"/>
            <w:r w:rsidRPr="003D4111">
              <w:rPr>
                <w:snapToGrid w:val="0"/>
                <w:kern w:val="22"/>
                <w:sz w:val="20"/>
                <w:szCs w:val="20"/>
              </w:rPr>
              <w:t xml:space="preserve"> </w:t>
            </w:r>
            <w:proofErr w:type="spellStart"/>
            <w:r w:rsidRPr="003D4111">
              <w:rPr>
                <w:snapToGrid w:val="0"/>
                <w:kern w:val="22"/>
                <w:sz w:val="20"/>
                <w:szCs w:val="20"/>
              </w:rPr>
              <w:t>для</w:t>
            </w:r>
            <w:proofErr w:type="spellEnd"/>
            <w:r w:rsidRPr="003D4111">
              <w:rPr>
                <w:snapToGrid w:val="0"/>
                <w:kern w:val="22"/>
                <w:sz w:val="20"/>
                <w:szCs w:val="20"/>
              </w:rPr>
              <w:t xml:space="preserve"> </w:t>
            </w:r>
            <w:proofErr w:type="spellStart"/>
            <w:r w:rsidRPr="003D4111">
              <w:rPr>
                <w:snapToGrid w:val="0"/>
                <w:kern w:val="22"/>
                <w:sz w:val="20"/>
                <w:szCs w:val="20"/>
              </w:rPr>
              <w:t>вида</w:t>
            </w:r>
            <w:proofErr w:type="spellEnd"/>
            <w:r w:rsidRPr="003D4111">
              <w:rPr>
                <w:snapToGrid w:val="0"/>
                <w:kern w:val="22"/>
                <w:sz w:val="20"/>
                <w:szCs w:val="20"/>
              </w:rPr>
              <w:t xml:space="preserve"> </w:t>
            </w:r>
            <w:proofErr w:type="spellStart"/>
            <w:r w:rsidRPr="003D4111">
              <w:rPr>
                <w:snapToGrid w:val="0"/>
                <w:kern w:val="22"/>
                <w:sz w:val="20"/>
                <w:szCs w:val="20"/>
              </w:rPr>
              <w:t>китообразных</w:t>
            </w:r>
            <w:proofErr w:type="spellEnd"/>
            <w:r w:rsidRPr="003D4111">
              <w:rPr>
                <w:rFonts w:eastAsia="MS Mincho"/>
                <w:snapToGrid w:val="0"/>
                <w:kern w:val="22"/>
                <w:sz w:val="20"/>
                <w:szCs w:val="20"/>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7"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L</w:t>
            </w:r>
          </w:p>
        </w:tc>
      </w:tr>
      <w:tr w:rsidR="004A39AD" w:rsidRPr="003D4111" w:rsidTr="00940363">
        <w:tc>
          <w:tcPr>
            <w:tcW w:w="9687" w:type="dxa"/>
            <w:tcBorders>
              <w:top w:val="single" w:sz="4" w:space="0" w:color="auto"/>
              <w:left w:val="single" w:sz="4" w:space="0" w:color="auto"/>
              <w:bottom w:val="single" w:sz="4" w:space="0" w:color="auto"/>
              <w:right w:val="single" w:sz="4" w:space="0" w:color="auto"/>
            </w:tcBorders>
            <w:hideMark/>
          </w:tcPr>
          <w:p w:rsidR="004A39AD" w:rsidRPr="003D4111" w:rsidRDefault="004A39AD" w:rsidP="00940363">
            <w:pPr>
              <w:suppressLineNumbers/>
              <w:suppressAutoHyphens/>
              <w:kinsoku w:val="0"/>
              <w:overflowPunct w:val="0"/>
              <w:autoSpaceDE w:val="0"/>
              <w:autoSpaceDN w:val="0"/>
              <w:snapToGrid w:val="0"/>
              <w:rPr>
                <w:b/>
                <w:snapToGrid w:val="0"/>
                <w:kern w:val="22"/>
                <w:sz w:val="20"/>
                <w:szCs w:val="20"/>
              </w:rPr>
            </w:pPr>
            <w:r w:rsidRPr="003D4111">
              <w:rPr>
                <w:b/>
                <w:snapToGrid w:val="0"/>
                <w:kern w:val="22"/>
                <w:sz w:val="20"/>
                <w:szCs w:val="20"/>
              </w:rPr>
              <w:t xml:space="preserve">6. </w:t>
            </w:r>
            <w:proofErr w:type="spellStart"/>
            <w:r w:rsidRPr="003D4111">
              <w:rPr>
                <w:b/>
                <w:snapToGrid w:val="0"/>
                <w:kern w:val="22"/>
                <w:sz w:val="20"/>
                <w:szCs w:val="20"/>
              </w:rPr>
              <w:t>Мадейра</w:t>
            </w:r>
            <w:proofErr w:type="spellEnd"/>
            <w:r w:rsidRPr="003D4111">
              <w:rPr>
                <w:b/>
                <w:snapToGrid w:val="0"/>
                <w:kern w:val="22"/>
                <w:sz w:val="20"/>
                <w:szCs w:val="20"/>
              </w:rPr>
              <w:t xml:space="preserve"> – </w:t>
            </w:r>
            <w:proofErr w:type="spellStart"/>
            <w:r w:rsidRPr="003D4111">
              <w:rPr>
                <w:b/>
                <w:snapToGrid w:val="0"/>
                <w:kern w:val="22"/>
                <w:sz w:val="20"/>
                <w:szCs w:val="20"/>
              </w:rPr>
              <w:t>Торе</w:t>
            </w:r>
            <w:proofErr w:type="spellEnd"/>
            <w:r w:rsidRPr="003D4111">
              <w:rPr>
                <w:b/>
                <w:snapToGrid w:val="0"/>
                <w:kern w:val="22"/>
                <w:sz w:val="20"/>
                <w:szCs w:val="20"/>
              </w:rPr>
              <w:t xml:space="preserve"> </w:t>
            </w:r>
          </w:p>
          <w:p w:rsidR="004A39AD" w:rsidRPr="00C9766A" w:rsidRDefault="004A39AD" w:rsidP="004A39AD">
            <w:pPr>
              <w:numPr>
                <w:ilvl w:val="0"/>
                <w:numId w:val="26"/>
              </w:numPr>
              <w:suppressLineNumbers/>
              <w:suppressAutoHyphens/>
              <w:kinsoku w:val="0"/>
              <w:overflowPunct w:val="0"/>
              <w:autoSpaceDE w:val="0"/>
              <w:autoSpaceDN w:val="0"/>
              <w:rPr>
                <w:snapToGrid w:val="0"/>
                <w:kern w:val="22"/>
                <w:sz w:val="20"/>
                <w:szCs w:val="20"/>
                <w:lang w:val="ru-RU"/>
              </w:rPr>
            </w:pPr>
            <w:r w:rsidRPr="00C9766A">
              <w:rPr>
                <w:sz w:val="20"/>
                <w:szCs w:val="20"/>
                <w:lang w:val="ru-RU"/>
              </w:rPr>
              <w:t>Местонахождение</w:t>
            </w:r>
            <w:r w:rsidRPr="00C9766A">
              <w:rPr>
                <w:snapToGrid w:val="0"/>
                <w:kern w:val="22"/>
                <w:sz w:val="20"/>
                <w:szCs w:val="20"/>
                <w:lang w:val="ru-RU"/>
              </w:rPr>
              <w:t xml:space="preserve">: </w:t>
            </w:r>
            <w:bookmarkStart w:id="0" w:name="_Hlk22118131"/>
            <w:r w:rsidRPr="00C9766A">
              <w:rPr>
                <w:snapToGrid w:val="0"/>
                <w:kern w:val="22"/>
                <w:sz w:val="20"/>
                <w:szCs w:val="20"/>
                <w:lang w:val="ru-RU"/>
              </w:rPr>
              <w:t xml:space="preserve">Район очерчен параллелями 39º28`4.39``- 33º31`17.04`` </w:t>
            </w:r>
            <w:proofErr w:type="spellStart"/>
            <w:r w:rsidRPr="00C9766A">
              <w:rPr>
                <w:snapToGrid w:val="0"/>
                <w:kern w:val="22"/>
                <w:sz w:val="20"/>
                <w:szCs w:val="20"/>
                <w:lang w:val="ru-RU"/>
              </w:rPr>
              <w:t>с.ш</w:t>
            </w:r>
            <w:proofErr w:type="spellEnd"/>
            <w:r w:rsidRPr="00C9766A">
              <w:rPr>
                <w:snapToGrid w:val="0"/>
                <w:kern w:val="22"/>
                <w:sz w:val="20"/>
                <w:szCs w:val="20"/>
                <w:lang w:val="ru-RU"/>
              </w:rPr>
              <w:t xml:space="preserve">. и меридианами 13º31`12.88``- 14º25`58.54`` </w:t>
            </w:r>
            <w:proofErr w:type="spellStart"/>
            <w:r w:rsidRPr="00C9766A">
              <w:rPr>
                <w:snapToGrid w:val="0"/>
                <w:kern w:val="22"/>
                <w:sz w:val="20"/>
                <w:szCs w:val="20"/>
                <w:lang w:val="ru-RU"/>
              </w:rPr>
              <w:t>з.д</w:t>
            </w:r>
            <w:proofErr w:type="spellEnd"/>
            <w:r w:rsidRPr="00C9766A">
              <w:rPr>
                <w:snapToGrid w:val="0"/>
                <w:kern w:val="22"/>
                <w:sz w:val="20"/>
                <w:szCs w:val="20"/>
                <w:lang w:val="ru-RU"/>
              </w:rPr>
              <w:t xml:space="preserve">. </w:t>
            </w:r>
            <w:bookmarkEnd w:id="0"/>
          </w:p>
          <w:p w:rsidR="004A39AD" w:rsidRPr="00C9766A" w:rsidRDefault="004A39AD" w:rsidP="004A39AD">
            <w:pPr>
              <w:numPr>
                <w:ilvl w:val="0"/>
                <w:numId w:val="26"/>
              </w:numPr>
              <w:suppressLineNumbers/>
              <w:suppressAutoHyphens/>
              <w:kinsoku w:val="0"/>
              <w:overflowPunct w:val="0"/>
              <w:autoSpaceDE w:val="0"/>
              <w:autoSpaceDN w:val="0"/>
              <w:rPr>
                <w:snapToGrid w:val="0"/>
                <w:kern w:val="22"/>
                <w:sz w:val="20"/>
                <w:szCs w:val="20"/>
                <w:lang w:val="ru-RU"/>
              </w:rPr>
            </w:pPr>
            <w:r w:rsidRPr="00C9766A">
              <w:rPr>
                <w:snapToGrid w:val="0"/>
                <w:kern w:val="22"/>
                <w:sz w:val="20"/>
                <w:szCs w:val="20"/>
                <w:lang w:val="ru-RU"/>
              </w:rPr>
              <w:t>В район входит 19 уникальных образований, 17 из которых – подводные горы. Они являются очагами морской флоры и фауны и в целом являются районами повышенной продуктивности, особенно по сравнению с окружающими абиссальными районами. Площадь Мадейра – Торе составляет 197 431 км</w:t>
            </w:r>
            <w:r w:rsidRPr="00C9766A">
              <w:rPr>
                <w:snapToGrid w:val="0"/>
                <w:kern w:val="22"/>
                <w:sz w:val="20"/>
                <w:szCs w:val="20"/>
                <w:vertAlign w:val="superscript"/>
                <w:lang w:val="ru-RU"/>
              </w:rPr>
              <w:t>2</w:t>
            </w:r>
            <w:r w:rsidRPr="00C9766A">
              <w:rPr>
                <w:snapToGrid w:val="0"/>
                <w:kern w:val="22"/>
                <w:sz w:val="20"/>
                <w:szCs w:val="20"/>
                <w:lang w:val="ru-RU"/>
              </w:rPr>
              <w:t xml:space="preserve">, а глубины варьируются от 25 м (вершина подводной горы </w:t>
            </w:r>
            <w:proofErr w:type="spellStart"/>
            <w:r w:rsidRPr="00C9766A">
              <w:rPr>
                <w:snapToGrid w:val="0"/>
                <w:kern w:val="22"/>
                <w:sz w:val="20"/>
                <w:szCs w:val="20"/>
                <w:lang w:val="ru-RU"/>
              </w:rPr>
              <w:t>Геттисберг</w:t>
            </w:r>
            <w:proofErr w:type="spellEnd"/>
            <w:r w:rsidRPr="00C9766A">
              <w:rPr>
                <w:snapToGrid w:val="0"/>
                <w:kern w:val="22"/>
                <w:sz w:val="20"/>
                <w:szCs w:val="20"/>
                <w:lang w:val="ru-RU"/>
              </w:rPr>
              <w:t xml:space="preserve">) до 4930 м (основание подводной горы Торе). В район входит предлагаемый объект природы, имеющий общественное значение (банка </w:t>
            </w:r>
            <w:proofErr w:type="spellStart"/>
            <w:r w:rsidRPr="00C9766A">
              <w:rPr>
                <w:snapToGrid w:val="0"/>
                <w:kern w:val="22"/>
                <w:sz w:val="20"/>
                <w:szCs w:val="20"/>
                <w:lang w:val="ru-RU"/>
              </w:rPr>
              <w:t>Горриндж</w:t>
            </w:r>
            <w:proofErr w:type="spellEnd"/>
            <w:r w:rsidRPr="00C9766A">
              <w:rPr>
                <w:snapToGrid w:val="0"/>
                <w:kern w:val="22"/>
                <w:sz w:val="20"/>
                <w:szCs w:val="20"/>
                <w:lang w:val="ru-RU"/>
              </w:rPr>
              <w:t xml:space="preserve">), и морской охраняемый район ОСПАР в открытом море (подводная гора Жозефин). В общей сложности в районе насчитывается 965 видов, из которых 7 процентов охраняются международным или региональным законодательством. </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7"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M</w:t>
            </w:r>
          </w:p>
        </w:tc>
      </w:tr>
      <w:tr w:rsidR="004A39AD" w:rsidRPr="003D4111" w:rsidTr="00940363">
        <w:tc>
          <w:tcPr>
            <w:tcW w:w="9687" w:type="dxa"/>
            <w:tcBorders>
              <w:top w:val="single" w:sz="4" w:space="0" w:color="auto"/>
              <w:left w:val="single" w:sz="4" w:space="0" w:color="auto"/>
              <w:bottom w:val="single" w:sz="4" w:space="0" w:color="auto"/>
              <w:right w:val="single" w:sz="4" w:space="0" w:color="auto"/>
            </w:tcBorders>
            <w:hideMark/>
          </w:tcPr>
          <w:p w:rsidR="004A39AD" w:rsidRPr="003D4111" w:rsidRDefault="004A39AD" w:rsidP="00940363">
            <w:pPr>
              <w:suppressLineNumbers/>
              <w:suppressAutoHyphens/>
              <w:kinsoku w:val="0"/>
              <w:overflowPunct w:val="0"/>
              <w:autoSpaceDE w:val="0"/>
              <w:autoSpaceDN w:val="0"/>
              <w:snapToGrid w:val="0"/>
              <w:rPr>
                <w:b/>
                <w:snapToGrid w:val="0"/>
                <w:kern w:val="22"/>
                <w:sz w:val="20"/>
                <w:szCs w:val="20"/>
              </w:rPr>
            </w:pPr>
            <w:r w:rsidRPr="003D4111">
              <w:rPr>
                <w:b/>
                <w:snapToGrid w:val="0"/>
                <w:kern w:val="22"/>
                <w:sz w:val="20"/>
                <w:szCs w:val="20"/>
              </w:rPr>
              <w:t xml:space="preserve">7. </w:t>
            </w:r>
            <w:proofErr w:type="spellStart"/>
            <w:r w:rsidRPr="003D4111">
              <w:rPr>
                <w:b/>
                <w:snapToGrid w:val="0"/>
                <w:kern w:val="22"/>
                <w:sz w:val="20"/>
                <w:szCs w:val="20"/>
              </w:rPr>
              <w:t>Дезерташ</w:t>
            </w:r>
            <w:proofErr w:type="spellEnd"/>
          </w:p>
          <w:p w:rsidR="004A39AD" w:rsidRPr="00C9766A" w:rsidRDefault="004A39AD" w:rsidP="004A39AD">
            <w:pPr>
              <w:numPr>
                <w:ilvl w:val="0"/>
                <w:numId w:val="27"/>
              </w:numPr>
              <w:suppressLineNumbers/>
              <w:suppressAutoHyphens/>
              <w:kinsoku w:val="0"/>
              <w:overflowPunct w:val="0"/>
              <w:autoSpaceDE w:val="0"/>
              <w:autoSpaceDN w:val="0"/>
              <w:adjustRightInd w:val="0"/>
              <w:ind w:left="395"/>
              <w:rPr>
                <w:snapToGrid w:val="0"/>
                <w:kern w:val="22"/>
                <w:sz w:val="20"/>
                <w:szCs w:val="20"/>
                <w:lang w:val="ru-RU"/>
              </w:rPr>
            </w:pPr>
            <w:r w:rsidRPr="00C9766A">
              <w:rPr>
                <w:sz w:val="20"/>
                <w:szCs w:val="20"/>
                <w:lang w:val="ru-RU"/>
              </w:rPr>
              <w:t>Местонахождение</w:t>
            </w:r>
            <w:r w:rsidRPr="00C9766A">
              <w:rPr>
                <w:snapToGrid w:val="0"/>
                <w:kern w:val="22"/>
                <w:sz w:val="20"/>
                <w:szCs w:val="20"/>
                <w:lang w:val="ru-RU"/>
              </w:rPr>
              <w:t xml:space="preserve">: Район включает в себя морские территории, прилегающие к островам </w:t>
            </w:r>
            <w:proofErr w:type="spellStart"/>
            <w:r w:rsidRPr="00C9766A">
              <w:rPr>
                <w:snapToGrid w:val="0"/>
                <w:kern w:val="22"/>
                <w:sz w:val="20"/>
                <w:szCs w:val="20"/>
                <w:lang w:val="ru-RU"/>
              </w:rPr>
              <w:t>Дезерташ</w:t>
            </w:r>
            <w:proofErr w:type="spellEnd"/>
            <w:r w:rsidRPr="00C9766A">
              <w:rPr>
                <w:snapToGrid w:val="0"/>
                <w:kern w:val="22"/>
                <w:sz w:val="20"/>
                <w:szCs w:val="20"/>
                <w:lang w:val="ru-RU"/>
              </w:rPr>
              <w:t xml:space="preserve">. Район расположен к юго-востоку от острова Мадейра, Португалия (32.47 </w:t>
            </w:r>
            <w:proofErr w:type="spellStart"/>
            <w:r w:rsidRPr="00C9766A">
              <w:rPr>
                <w:snapToGrid w:val="0"/>
                <w:kern w:val="22"/>
                <w:sz w:val="20"/>
                <w:szCs w:val="20"/>
                <w:lang w:val="ru-RU"/>
              </w:rPr>
              <w:t>с.ш</w:t>
            </w:r>
            <w:proofErr w:type="spellEnd"/>
            <w:r w:rsidRPr="00C9766A">
              <w:rPr>
                <w:snapToGrid w:val="0"/>
                <w:kern w:val="22"/>
                <w:sz w:val="20"/>
                <w:szCs w:val="20"/>
                <w:lang w:val="ru-RU"/>
              </w:rPr>
              <w:t xml:space="preserve">./-16.52 </w:t>
            </w:r>
            <w:proofErr w:type="spellStart"/>
            <w:r w:rsidRPr="00C9766A">
              <w:rPr>
                <w:snapToGrid w:val="0"/>
                <w:kern w:val="22"/>
                <w:sz w:val="20"/>
                <w:szCs w:val="20"/>
                <w:lang w:val="ru-RU"/>
              </w:rPr>
              <w:t>з.д</w:t>
            </w:r>
            <w:proofErr w:type="spellEnd"/>
            <w:r w:rsidRPr="00C9766A">
              <w:rPr>
                <w:snapToGrid w:val="0"/>
                <w:kern w:val="22"/>
                <w:sz w:val="20"/>
                <w:szCs w:val="20"/>
                <w:lang w:val="ru-RU"/>
              </w:rPr>
              <w:t>.) и его площадь составляет 455 км</w:t>
            </w:r>
            <w:r w:rsidRPr="00C9766A">
              <w:rPr>
                <w:snapToGrid w:val="0"/>
                <w:kern w:val="22"/>
                <w:sz w:val="20"/>
                <w:szCs w:val="20"/>
                <w:vertAlign w:val="superscript"/>
                <w:lang w:val="ru-RU"/>
              </w:rPr>
              <w:t>2</w:t>
            </w:r>
            <w:r w:rsidRPr="00C9766A">
              <w:rPr>
                <w:snapToGrid w:val="0"/>
                <w:kern w:val="22"/>
                <w:sz w:val="20"/>
                <w:szCs w:val="20"/>
                <w:lang w:val="ru-RU"/>
              </w:rPr>
              <w:t xml:space="preserve">. </w:t>
            </w:r>
          </w:p>
          <w:p w:rsidR="004A39AD" w:rsidRPr="00C9766A" w:rsidRDefault="004A39AD" w:rsidP="004A39AD">
            <w:pPr>
              <w:numPr>
                <w:ilvl w:val="0"/>
                <w:numId w:val="27"/>
              </w:numPr>
              <w:suppressLineNumbers/>
              <w:suppressAutoHyphens/>
              <w:kinsoku w:val="0"/>
              <w:overflowPunct w:val="0"/>
              <w:autoSpaceDE w:val="0"/>
              <w:autoSpaceDN w:val="0"/>
              <w:adjustRightInd w:val="0"/>
              <w:ind w:left="395"/>
              <w:rPr>
                <w:snapToGrid w:val="0"/>
                <w:kern w:val="22"/>
                <w:sz w:val="20"/>
                <w:szCs w:val="20"/>
                <w:lang w:val="ru-RU"/>
              </w:rPr>
            </w:pPr>
            <w:r w:rsidRPr="00C9766A">
              <w:rPr>
                <w:snapToGrid w:val="0"/>
                <w:kern w:val="22"/>
                <w:sz w:val="20"/>
                <w:szCs w:val="20"/>
                <w:lang w:val="ru-RU"/>
              </w:rPr>
              <w:t xml:space="preserve">На островах </w:t>
            </w:r>
            <w:proofErr w:type="spellStart"/>
            <w:r w:rsidRPr="00C9766A">
              <w:rPr>
                <w:snapToGrid w:val="0"/>
                <w:kern w:val="22"/>
                <w:sz w:val="20"/>
                <w:szCs w:val="20"/>
                <w:lang w:val="ru-RU"/>
              </w:rPr>
              <w:t>Дезерташ</w:t>
            </w:r>
            <w:proofErr w:type="spellEnd"/>
            <w:r w:rsidRPr="00C9766A">
              <w:rPr>
                <w:snapToGrid w:val="0"/>
                <w:kern w:val="22"/>
                <w:sz w:val="20"/>
                <w:szCs w:val="20"/>
                <w:lang w:val="ru-RU"/>
              </w:rPr>
              <w:t xml:space="preserve"> находятся некоторые из наиболее важных колоний морских птиц в Атлантике с многочисленными популяциями </w:t>
            </w:r>
            <w:proofErr w:type="spellStart"/>
            <w:r w:rsidRPr="00C9766A">
              <w:rPr>
                <w:snapToGrid w:val="0"/>
                <w:kern w:val="22"/>
                <w:sz w:val="20"/>
                <w:szCs w:val="20"/>
                <w:lang w:val="ru-RU"/>
              </w:rPr>
              <w:t>буревестникообразных</w:t>
            </w:r>
            <w:proofErr w:type="spellEnd"/>
            <w:r w:rsidRPr="00C9766A">
              <w:rPr>
                <w:snapToGrid w:val="0"/>
                <w:kern w:val="22"/>
                <w:sz w:val="20"/>
                <w:szCs w:val="20"/>
                <w:lang w:val="ru-RU"/>
              </w:rPr>
              <w:t xml:space="preserve"> (</w:t>
            </w:r>
            <w:proofErr w:type="spellStart"/>
            <w:r w:rsidRPr="003D4111">
              <w:rPr>
                <w:i/>
                <w:iCs/>
                <w:snapToGrid w:val="0"/>
                <w:kern w:val="22"/>
                <w:sz w:val="20"/>
                <w:szCs w:val="20"/>
              </w:rPr>
              <w:t>Procellariiforms</w:t>
            </w:r>
            <w:proofErr w:type="spellEnd"/>
            <w:r w:rsidRPr="00C9766A">
              <w:rPr>
                <w:snapToGrid w:val="0"/>
                <w:kern w:val="22"/>
                <w:sz w:val="20"/>
                <w:szCs w:val="20"/>
                <w:lang w:val="ru-RU"/>
              </w:rPr>
              <w:t xml:space="preserve">), включая единственную популяцию уязвимых </w:t>
            </w:r>
            <w:proofErr w:type="spellStart"/>
            <w:r w:rsidRPr="00C9766A">
              <w:rPr>
                <w:snapToGrid w:val="0"/>
                <w:kern w:val="22"/>
                <w:sz w:val="20"/>
                <w:szCs w:val="20"/>
                <w:lang w:val="ru-RU"/>
              </w:rPr>
              <w:t>тайфунников</w:t>
            </w:r>
            <w:proofErr w:type="spellEnd"/>
            <w:r w:rsidRPr="00C9766A">
              <w:rPr>
                <w:snapToGrid w:val="0"/>
                <w:kern w:val="22"/>
                <w:sz w:val="20"/>
                <w:szCs w:val="20"/>
                <w:lang w:val="ru-RU"/>
              </w:rPr>
              <w:t xml:space="preserve"> (</w:t>
            </w:r>
            <w:proofErr w:type="spellStart"/>
            <w:r w:rsidRPr="003D4111">
              <w:rPr>
                <w:i/>
                <w:iCs/>
                <w:snapToGrid w:val="0"/>
                <w:kern w:val="22"/>
                <w:sz w:val="20"/>
                <w:szCs w:val="20"/>
              </w:rPr>
              <w:t>Pterodroma</w:t>
            </w:r>
            <w:proofErr w:type="spellEnd"/>
            <w:r w:rsidRPr="00C9766A">
              <w:rPr>
                <w:i/>
                <w:iCs/>
                <w:snapToGrid w:val="0"/>
                <w:kern w:val="22"/>
                <w:sz w:val="20"/>
                <w:szCs w:val="20"/>
                <w:lang w:val="ru-RU"/>
              </w:rPr>
              <w:t xml:space="preserve"> </w:t>
            </w:r>
            <w:proofErr w:type="spellStart"/>
            <w:r w:rsidRPr="003D4111">
              <w:rPr>
                <w:i/>
                <w:iCs/>
                <w:snapToGrid w:val="0"/>
                <w:kern w:val="22"/>
                <w:sz w:val="20"/>
                <w:szCs w:val="20"/>
              </w:rPr>
              <w:t>deserta</w:t>
            </w:r>
            <w:proofErr w:type="spellEnd"/>
            <w:r w:rsidRPr="00C9766A">
              <w:rPr>
                <w:snapToGrid w:val="0"/>
                <w:kern w:val="22"/>
                <w:sz w:val="20"/>
                <w:szCs w:val="20"/>
                <w:lang w:val="ru-RU"/>
              </w:rPr>
              <w:t>). Там же находятся важные места воспроизводства и обитания тюленя-монаха (</w:t>
            </w:r>
            <w:proofErr w:type="spellStart"/>
            <w:r w:rsidRPr="003D4111">
              <w:rPr>
                <w:i/>
                <w:iCs/>
                <w:snapToGrid w:val="0"/>
                <w:kern w:val="22"/>
                <w:sz w:val="20"/>
                <w:szCs w:val="20"/>
              </w:rPr>
              <w:t>Monachus</w:t>
            </w:r>
            <w:proofErr w:type="spellEnd"/>
            <w:r w:rsidRPr="00C9766A">
              <w:rPr>
                <w:i/>
                <w:iCs/>
                <w:snapToGrid w:val="0"/>
                <w:kern w:val="22"/>
                <w:sz w:val="20"/>
                <w:szCs w:val="20"/>
                <w:lang w:val="ru-RU"/>
              </w:rPr>
              <w:t xml:space="preserve"> </w:t>
            </w:r>
            <w:proofErr w:type="spellStart"/>
            <w:r w:rsidRPr="003D4111">
              <w:rPr>
                <w:i/>
                <w:iCs/>
                <w:snapToGrid w:val="0"/>
                <w:kern w:val="22"/>
                <w:sz w:val="20"/>
                <w:szCs w:val="20"/>
              </w:rPr>
              <w:t>monachus</w:t>
            </w:r>
            <w:proofErr w:type="spellEnd"/>
            <w:r w:rsidRPr="00C9766A">
              <w:rPr>
                <w:snapToGrid w:val="0"/>
                <w:kern w:val="22"/>
                <w:sz w:val="20"/>
                <w:szCs w:val="20"/>
                <w:lang w:val="ru-RU"/>
              </w:rPr>
              <w:t xml:space="preserve">), находящегося под угрозой исчезновения (пещеры для ухода за потомством и лежбища). </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w:t>
            </w:r>
          </w:p>
        </w:tc>
        <w:tc>
          <w:tcPr>
            <w:tcW w:w="507"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w:t>
            </w:r>
          </w:p>
        </w:tc>
      </w:tr>
      <w:tr w:rsidR="004A39AD" w:rsidRPr="003D4111" w:rsidTr="00940363">
        <w:tc>
          <w:tcPr>
            <w:tcW w:w="9687" w:type="dxa"/>
            <w:tcBorders>
              <w:top w:val="single" w:sz="4" w:space="0" w:color="auto"/>
              <w:left w:val="single" w:sz="4" w:space="0" w:color="auto"/>
              <w:bottom w:val="single" w:sz="4" w:space="0" w:color="auto"/>
              <w:right w:val="single" w:sz="4" w:space="0" w:color="auto"/>
            </w:tcBorders>
            <w:hideMark/>
          </w:tcPr>
          <w:p w:rsidR="004A39AD" w:rsidRPr="00C9766A" w:rsidRDefault="004A39AD" w:rsidP="00940363">
            <w:pPr>
              <w:suppressLineNumbers/>
              <w:suppressAutoHyphens/>
              <w:kinsoku w:val="0"/>
              <w:overflowPunct w:val="0"/>
              <w:autoSpaceDE w:val="0"/>
              <w:autoSpaceDN w:val="0"/>
              <w:snapToGrid w:val="0"/>
              <w:rPr>
                <w:b/>
                <w:snapToGrid w:val="0"/>
                <w:kern w:val="22"/>
                <w:sz w:val="20"/>
                <w:szCs w:val="20"/>
                <w:lang w:val="ru-RU"/>
              </w:rPr>
            </w:pPr>
            <w:r w:rsidRPr="00C9766A">
              <w:rPr>
                <w:b/>
                <w:snapToGrid w:val="0"/>
                <w:kern w:val="22"/>
                <w:sz w:val="20"/>
                <w:szCs w:val="20"/>
                <w:lang w:val="ru-RU"/>
              </w:rPr>
              <w:t>8. Океанические острова и подводные горы Канарского региона</w:t>
            </w:r>
          </w:p>
          <w:p w:rsidR="004A39AD" w:rsidRPr="00C9766A" w:rsidRDefault="004A39AD" w:rsidP="004A39AD">
            <w:pPr>
              <w:numPr>
                <w:ilvl w:val="0"/>
                <w:numId w:val="28"/>
              </w:numPr>
              <w:suppressLineNumbers/>
              <w:shd w:val="clear" w:color="auto" w:fill="FFFFFF"/>
              <w:suppressAutoHyphens/>
              <w:kinsoku w:val="0"/>
              <w:overflowPunct w:val="0"/>
              <w:autoSpaceDE w:val="0"/>
              <w:autoSpaceDN w:val="0"/>
              <w:ind w:left="395"/>
              <w:contextualSpacing/>
              <w:rPr>
                <w:snapToGrid w:val="0"/>
                <w:kern w:val="22"/>
                <w:sz w:val="20"/>
                <w:szCs w:val="20"/>
                <w:lang w:val="ru-RU" w:eastAsia="ja-JP"/>
              </w:rPr>
            </w:pPr>
            <w:r w:rsidRPr="00C9766A">
              <w:rPr>
                <w:sz w:val="20"/>
                <w:szCs w:val="20"/>
                <w:lang w:val="ru-RU"/>
              </w:rPr>
              <w:t>Местонахождение</w:t>
            </w:r>
            <w:r w:rsidRPr="00C9766A">
              <w:rPr>
                <w:snapToGrid w:val="0"/>
                <w:kern w:val="22"/>
                <w:sz w:val="20"/>
                <w:szCs w:val="20"/>
                <w:lang w:val="ru-RU"/>
              </w:rPr>
              <w:t xml:space="preserve">: Район расположен на территории Канарских островов и вокруг них, между параллелями 24º60’ и 32º27’ </w:t>
            </w:r>
            <w:proofErr w:type="spellStart"/>
            <w:r w:rsidRPr="00C9766A">
              <w:rPr>
                <w:snapToGrid w:val="0"/>
                <w:kern w:val="22"/>
                <w:sz w:val="20"/>
                <w:szCs w:val="20"/>
                <w:lang w:val="ru-RU"/>
              </w:rPr>
              <w:t>с.ш</w:t>
            </w:r>
            <w:proofErr w:type="spellEnd"/>
            <w:r w:rsidRPr="00C9766A">
              <w:rPr>
                <w:snapToGrid w:val="0"/>
                <w:kern w:val="22"/>
                <w:sz w:val="20"/>
                <w:szCs w:val="20"/>
                <w:lang w:val="ru-RU"/>
              </w:rPr>
              <w:t xml:space="preserve">. и меридианами 20º96’ и 30º33’ </w:t>
            </w:r>
            <w:proofErr w:type="spellStart"/>
            <w:r w:rsidRPr="00C9766A">
              <w:rPr>
                <w:snapToGrid w:val="0"/>
                <w:kern w:val="22"/>
                <w:sz w:val="20"/>
                <w:szCs w:val="20"/>
                <w:lang w:val="ru-RU"/>
              </w:rPr>
              <w:t>з.д</w:t>
            </w:r>
            <w:proofErr w:type="spellEnd"/>
            <w:r w:rsidRPr="00C9766A">
              <w:rPr>
                <w:snapToGrid w:val="0"/>
                <w:kern w:val="22"/>
                <w:sz w:val="20"/>
                <w:szCs w:val="20"/>
                <w:lang w:val="ru-RU"/>
              </w:rPr>
              <w:t>. Он включает в себя вулканические сооружения (например, выступающие острова, подводные горы и банки) и имеет максимальную глубину 3000 м.</w:t>
            </w:r>
          </w:p>
          <w:p w:rsidR="004A39AD" w:rsidRPr="00C9766A" w:rsidRDefault="004A39AD" w:rsidP="004A39AD">
            <w:pPr>
              <w:numPr>
                <w:ilvl w:val="0"/>
                <w:numId w:val="28"/>
              </w:numPr>
              <w:suppressLineNumbers/>
              <w:shd w:val="clear" w:color="auto" w:fill="FFFFFF"/>
              <w:suppressAutoHyphens/>
              <w:kinsoku w:val="0"/>
              <w:overflowPunct w:val="0"/>
              <w:autoSpaceDE w:val="0"/>
              <w:autoSpaceDN w:val="0"/>
              <w:ind w:left="395"/>
              <w:contextualSpacing/>
              <w:rPr>
                <w:snapToGrid w:val="0"/>
                <w:kern w:val="22"/>
                <w:sz w:val="20"/>
                <w:szCs w:val="20"/>
                <w:lang w:val="ru-RU" w:eastAsia="ja-JP"/>
              </w:rPr>
            </w:pPr>
            <w:r w:rsidRPr="00C9766A">
              <w:rPr>
                <w:snapToGrid w:val="0"/>
                <w:kern w:val="22"/>
                <w:sz w:val="20"/>
                <w:szCs w:val="20"/>
                <w:lang w:val="ru-RU"/>
              </w:rPr>
              <w:t xml:space="preserve">Территория вокруг Канарских островов включает в себя ряд островов и подводных гор, на которые в течение десятков миллионов лет воздействовали магматические процессы в этой горячей точке Канарских островов. Архипелаг состоит из семи основных островов, группы островков на северо-востоке и трех подводных горных полей: одно на северо-востоке архипелага, одно на юго-западе и еще одно между островами. Некоторые из этих подводных гор (банка </w:t>
            </w:r>
            <w:proofErr w:type="spellStart"/>
            <w:r w:rsidRPr="00C9766A">
              <w:rPr>
                <w:snapToGrid w:val="0"/>
                <w:kern w:val="22"/>
                <w:sz w:val="20"/>
                <w:szCs w:val="20"/>
                <w:lang w:val="ru-RU"/>
              </w:rPr>
              <w:t>Консепсион</w:t>
            </w:r>
            <w:proofErr w:type="spellEnd"/>
            <w:r w:rsidRPr="00C9766A">
              <w:rPr>
                <w:snapToGrid w:val="0"/>
                <w:kern w:val="22"/>
                <w:sz w:val="20"/>
                <w:szCs w:val="20"/>
                <w:lang w:val="ru-RU"/>
              </w:rPr>
              <w:t xml:space="preserve">, Эль Банкете и </w:t>
            </w:r>
            <w:proofErr w:type="spellStart"/>
            <w:r w:rsidRPr="00C9766A">
              <w:rPr>
                <w:snapToGrid w:val="0"/>
                <w:kern w:val="22"/>
                <w:sz w:val="20"/>
                <w:szCs w:val="20"/>
                <w:lang w:val="ru-RU"/>
              </w:rPr>
              <w:t>Аманай</w:t>
            </w:r>
            <w:proofErr w:type="spellEnd"/>
            <w:r w:rsidRPr="00C9766A">
              <w:rPr>
                <w:snapToGrid w:val="0"/>
                <w:kern w:val="22"/>
                <w:sz w:val="20"/>
                <w:szCs w:val="20"/>
                <w:lang w:val="ru-RU"/>
              </w:rPr>
              <w:t>), а также прибрежные районы Канарского региона были тщательно изучены. В этом районе расположены 39 морских особо охраняемых районов и два объекта общественного значения (оба входят в сеть «Натура 2000»), а также три морских заповедника. Этот регион, имеющий субтропические океанографические условия, представляет собой южный предел распространения для многих пелагических и бентосных видов. Он включает в себя различные бентосные места обитания, в том числе те, которые считаются очагами биоразнообразия. Эти места обитания являются нерестилищами для нескольких коммерческих видов. Район также включает места обитания угрожаемых, находящихся под угрозой исчезновения и исчезающих и мигрирующих пелагических видов, включая китообразных.</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7"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M</w:t>
            </w:r>
          </w:p>
        </w:tc>
      </w:tr>
      <w:tr w:rsidR="004A39AD" w:rsidRPr="003D4111" w:rsidTr="00940363">
        <w:tc>
          <w:tcPr>
            <w:tcW w:w="9687" w:type="dxa"/>
            <w:tcBorders>
              <w:top w:val="single" w:sz="4" w:space="0" w:color="auto"/>
              <w:left w:val="single" w:sz="4" w:space="0" w:color="auto"/>
              <w:bottom w:val="single" w:sz="4" w:space="0" w:color="auto"/>
              <w:right w:val="single" w:sz="4" w:space="0" w:color="auto"/>
            </w:tcBorders>
            <w:hideMark/>
          </w:tcPr>
          <w:p w:rsidR="004A39AD" w:rsidRPr="003D4111" w:rsidRDefault="004A39AD" w:rsidP="00940363">
            <w:pPr>
              <w:suppressLineNumbers/>
              <w:suppressAutoHyphens/>
              <w:kinsoku w:val="0"/>
              <w:overflowPunct w:val="0"/>
              <w:autoSpaceDE w:val="0"/>
              <w:autoSpaceDN w:val="0"/>
              <w:snapToGrid w:val="0"/>
              <w:rPr>
                <w:b/>
                <w:snapToGrid w:val="0"/>
                <w:kern w:val="22"/>
                <w:sz w:val="20"/>
                <w:szCs w:val="20"/>
              </w:rPr>
            </w:pPr>
            <w:r w:rsidRPr="003D4111">
              <w:rPr>
                <w:b/>
                <w:snapToGrid w:val="0"/>
                <w:kern w:val="22"/>
                <w:sz w:val="20"/>
                <w:szCs w:val="20"/>
              </w:rPr>
              <w:t xml:space="preserve">9. </w:t>
            </w:r>
            <w:proofErr w:type="spellStart"/>
            <w:r w:rsidRPr="003D4111">
              <w:rPr>
                <w:b/>
                <w:snapToGrid w:val="0"/>
                <w:kern w:val="22"/>
                <w:sz w:val="20"/>
                <w:szCs w:val="20"/>
              </w:rPr>
              <w:t>Подводная</w:t>
            </w:r>
            <w:proofErr w:type="spellEnd"/>
            <w:r w:rsidRPr="003D4111">
              <w:rPr>
                <w:b/>
                <w:snapToGrid w:val="0"/>
                <w:kern w:val="22"/>
                <w:sz w:val="20"/>
                <w:szCs w:val="20"/>
              </w:rPr>
              <w:t xml:space="preserve"> </w:t>
            </w:r>
            <w:proofErr w:type="spellStart"/>
            <w:r w:rsidRPr="003D4111">
              <w:rPr>
                <w:b/>
                <w:snapToGrid w:val="0"/>
                <w:kern w:val="22"/>
                <w:sz w:val="20"/>
                <w:szCs w:val="20"/>
              </w:rPr>
              <w:t>гора</w:t>
            </w:r>
            <w:proofErr w:type="spellEnd"/>
            <w:r w:rsidRPr="003D4111">
              <w:rPr>
                <w:b/>
                <w:snapToGrid w:val="0"/>
                <w:kern w:val="22"/>
                <w:sz w:val="20"/>
                <w:szCs w:val="20"/>
              </w:rPr>
              <w:t xml:space="preserve"> </w:t>
            </w:r>
            <w:proofErr w:type="spellStart"/>
            <w:r w:rsidRPr="003D4111">
              <w:rPr>
                <w:b/>
                <w:snapToGrid w:val="0"/>
                <w:kern w:val="22"/>
                <w:sz w:val="20"/>
                <w:szCs w:val="20"/>
              </w:rPr>
              <w:t>Тропик</w:t>
            </w:r>
            <w:proofErr w:type="spellEnd"/>
          </w:p>
          <w:p w:rsidR="004A39AD" w:rsidRPr="00C9766A" w:rsidRDefault="004A39AD" w:rsidP="004A39AD">
            <w:pPr>
              <w:numPr>
                <w:ilvl w:val="0"/>
                <w:numId w:val="28"/>
              </w:numPr>
              <w:suppressLineNumbers/>
              <w:shd w:val="clear" w:color="auto" w:fill="FFFFFF"/>
              <w:suppressAutoHyphens/>
              <w:kinsoku w:val="0"/>
              <w:overflowPunct w:val="0"/>
              <w:autoSpaceDE w:val="0"/>
              <w:autoSpaceDN w:val="0"/>
              <w:ind w:left="395"/>
              <w:contextualSpacing/>
              <w:rPr>
                <w:snapToGrid w:val="0"/>
                <w:kern w:val="22"/>
                <w:sz w:val="20"/>
                <w:szCs w:val="20"/>
                <w:lang w:val="ru-RU"/>
              </w:rPr>
            </w:pPr>
            <w:r w:rsidRPr="00C9766A">
              <w:rPr>
                <w:snapToGrid w:val="0"/>
                <w:kern w:val="22"/>
                <w:sz w:val="20"/>
                <w:szCs w:val="20"/>
                <w:lang w:val="ru-RU"/>
              </w:rPr>
              <w:t xml:space="preserve">Местонахождение: Подводная гора Тропик расположена в северо-восточной части Атлантического океана (23° 55' </w:t>
            </w:r>
            <w:proofErr w:type="spellStart"/>
            <w:r w:rsidRPr="00C9766A">
              <w:rPr>
                <w:snapToGrid w:val="0"/>
                <w:kern w:val="22"/>
                <w:sz w:val="20"/>
                <w:szCs w:val="20"/>
                <w:lang w:val="ru-RU"/>
              </w:rPr>
              <w:t>с.ш</w:t>
            </w:r>
            <w:proofErr w:type="spellEnd"/>
            <w:r w:rsidRPr="00C9766A">
              <w:rPr>
                <w:snapToGrid w:val="0"/>
                <w:kern w:val="22"/>
                <w:sz w:val="20"/>
                <w:szCs w:val="20"/>
                <w:lang w:val="ru-RU"/>
              </w:rPr>
              <w:t xml:space="preserve">., 20° 45' </w:t>
            </w:r>
            <w:proofErr w:type="spellStart"/>
            <w:r w:rsidRPr="00C9766A">
              <w:rPr>
                <w:snapToGrid w:val="0"/>
                <w:kern w:val="22"/>
                <w:sz w:val="20"/>
                <w:szCs w:val="20"/>
                <w:lang w:val="ru-RU"/>
              </w:rPr>
              <w:t>з.д</w:t>
            </w:r>
            <w:proofErr w:type="spellEnd"/>
            <w:r w:rsidRPr="00C9766A">
              <w:rPr>
                <w:snapToGrid w:val="0"/>
                <w:kern w:val="22"/>
                <w:sz w:val="20"/>
                <w:szCs w:val="20"/>
                <w:lang w:val="ru-RU"/>
              </w:rPr>
              <w:t>.), вдоль северо-западного края африканского континента.</w:t>
            </w:r>
          </w:p>
          <w:p w:rsidR="004A39AD" w:rsidRPr="00C9766A" w:rsidRDefault="004A39AD" w:rsidP="004A39AD">
            <w:pPr>
              <w:numPr>
                <w:ilvl w:val="0"/>
                <w:numId w:val="28"/>
              </w:numPr>
              <w:suppressLineNumbers/>
              <w:shd w:val="clear" w:color="auto" w:fill="FFFFFF"/>
              <w:suppressAutoHyphens/>
              <w:kinsoku w:val="0"/>
              <w:overflowPunct w:val="0"/>
              <w:autoSpaceDE w:val="0"/>
              <w:autoSpaceDN w:val="0"/>
              <w:ind w:left="395"/>
              <w:contextualSpacing/>
              <w:rPr>
                <w:snapToGrid w:val="0"/>
                <w:kern w:val="22"/>
                <w:sz w:val="20"/>
                <w:szCs w:val="20"/>
                <w:lang w:val="ru-RU"/>
              </w:rPr>
            </w:pPr>
            <w:r w:rsidRPr="00C9766A">
              <w:rPr>
                <w:snapToGrid w:val="0"/>
                <w:kern w:val="22"/>
                <w:sz w:val="20"/>
                <w:szCs w:val="20"/>
                <w:lang w:val="ru-RU"/>
              </w:rPr>
              <w:t xml:space="preserve">На подводной горе Тропик обитают многочисленные уязвимые таксоны, в том числе имеющие высокую плотность </w:t>
            </w:r>
            <w:proofErr w:type="spellStart"/>
            <w:r w:rsidRPr="00C9766A">
              <w:rPr>
                <w:snapToGrid w:val="0"/>
                <w:kern w:val="22"/>
                <w:sz w:val="20"/>
                <w:szCs w:val="20"/>
                <w:lang w:val="ru-RU"/>
              </w:rPr>
              <w:t>октокоралловые</w:t>
            </w:r>
            <w:proofErr w:type="spellEnd"/>
            <w:r w:rsidRPr="00C9766A">
              <w:rPr>
                <w:snapToGrid w:val="0"/>
                <w:kern w:val="22"/>
                <w:sz w:val="20"/>
                <w:szCs w:val="20"/>
                <w:lang w:val="ru-RU"/>
              </w:rPr>
              <w:t xml:space="preserve"> сады, лоскутные рифы </w:t>
            </w:r>
            <w:proofErr w:type="spellStart"/>
            <w:r w:rsidRPr="003D4111">
              <w:rPr>
                <w:snapToGrid w:val="0"/>
                <w:kern w:val="22"/>
                <w:sz w:val="20"/>
                <w:szCs w:val="20"/>
              </w:rPr>
              <w:t>Solenosmilia</w:t>
            </w:r>
            <w:proofErr w:type="spellEnd"/>
            <w:r w:rsidRPr="00C9766A">
              <w:rPr>
                <w:snapToGrid w:val="0"/>
                <w:kern w:val="22"/>
                <w:sz w:val="20"/>
                <w:szCs w:val="20"/>
                <w:lang w:val="ru-RU"/>
              </w:rPr>
              <w:t xml:space="preserve"> </w:t>
            </w:r>
            <w:proofErr w:type="spellStart"/>
            <w:r w:rsidRPr="003D4111">
              <w:rPr>
                <w:snapToGrid w:val="0"/>
                <w:kern w:val="22"/>
                <w:sz w:val="20"/>
                <w:szCs w:val="20"/>
              </w:rPr>
              <w:t>variabilis</w:t>
            </w:r>
            <w:proofErr w:type="spellEnd"/>
            <w:r w:rsidRPr="00C9766A">
              <w:rPr>
                <w:snapToGrid w:val="0"/>
                <w:kern w:val="22"/>
                <w:sz w:val="20"/>
                <w:szCs w:val="20"/>
                <w:lang w:val="ru-RU"/>
              </w:rPr>
              <w:t xml:space="preserve">, </w:t>
            </w:r>
            <w:proofErr w:type="spellStart"/>
            <w:r w:rsidRPr="00C9766A">
              <w:rPr>
                <w:snapToGrid w:val="0"/>
                <w:kern w:val="22"/>
                <w:sz w:val="20"/>
                <w:szCs w:val="20"/>
                <w:lang w:val="ru-RU"/>
              </w:rPr>
              <w:t>ксенофиофоры</w:t>
            </w:r>
            <w:proofErr w:type="spellEnd"/>
            <w:r w:rsidRPr="00C9766A">
              <w:rPr>
                <w:snapToGrid w:val="0"/>
                <w:kern w:val="22"/>
                <w:sz w:val="20"/>
                <w:szCs w:val="20"/>
                <w:lang w:val="ru-RU"/>
              </w:rPr>
              <w:t xml:space="preserve">, поля </w:t>
            </w:r>
            <w:proofErr w:type="spellStart"/>
            <w:r w:rsidRPr="00C9766A">
              <w:rPr>
                <w:snapToGrid w:val="0"/>
                <w:kern w:val="22"/>
                <w:sz w:val="20"/>
                <w:szCs w:val="20"/>
                <w:lang w:val="ru-RU"/>
              </w:rPr>
              <w:t>криноидов</w:t>
            </w:r>
            <w:proofErr w:type="spellEnd"/>
            <w:r w:rsidRPr="00C9766A">
              <w:rPr>
                <w:snapToGrid w:val="0"/>
                <w:kern w:val="22"/>
                <w:sz w:val="20"/>
                <w:szCs w:val="20"/>
                <w:lang w:val="ru-RU"/>
              </w:rPr>
              <w:t xml:space="preserve"> и глубоководных губок. Недавнее исследование впервые содержало биологические данные о том, насколько вероятно существование потенциальных уязвимых экосистем на подводной горе Тропик, помимо прогностических моделей, призванных увеличить пространственный охват и выход за рамки исследований, проводимых дистанционно управляемыми и автономными подводными аппаратами. Было обнаружено, что прогнозируемая среда обитания стеклянной губки (</w:t>
            </w:r>
            <w:proofErr w:type="spellStart"/>
            <w:r w:rsidRPr="003D4111">
              <w:rPr>
                <w:snapToGrid w:val="0"/>
                <w:kern w:val="22"/>
                <w:sz w:val="20"/>
                <w:szCs w:val="20"/>
              </w:rPr>
              <w:t>Poliopogon</w:t>
            </w:r>
            <w:proofErr w:type="spellEnd"/>
            <w:r w:rsidRPr="00C9766A">
              <w:rPr>
                <w:snapToGrid w:val="0"/>
                <w:kern w:val="22"/>
                <w:sz w:val="20"/>
                <w:szCs w:val="20"/>
                <w:lang w:val="ru-RU"/>
              </w:rPr>
              <w:t xml:space="preserve"> </w:t>
            </w:r>
            <w:proofErr w:type="spellStart"/>
            <w:r w:rsidRPr="003D4111">
              <w:rPr>
                <w:snapToGrid w:val="0"/>
                <w:kern w:val="22"/>
                <w:sz w:val="20"/>
                <w:szCs w:val="20"/>
              </w:rPr>
              <w:t>amadou</w:t>
            </w:r>
            <w:proofErr w:type="spellEnd"/>
            <w:r w:rsidRPr="00C9766A">
              <w:rPr>
                <w:snapToGrid w:val="0"/>
                <w:kern w:val="22"/>
                <w:sz w:val="20"/>
                <w:szCs w:val="20"/>
                <w:lang w:val="ru-RU"/>
              </w:rPr>
              <w:t xml:space="preserve">), </w:t>
            </w:r>
            <w:proofErr w:type="spellStart"/>
            <w:r w:rsidRPr="00C9766A">
              <w:rPr>
                <w:snapToGrid w:val="0"/>
                <w:kern w:val="22"/>
                <w:sz w:val="20"/>
                <w:szCs w:val="20"/>
                <w:lang w:val="ru-RU"/>
              </w:rPr>
              <w:t>гексактинеллида</w:t>
            </w:r>
            <w:proofErr w:type="spellEnd"/>
            <w:r w:rsidRPr="00C9766A">
              <w:rPr>
                <w:snapToGrid w:val="0"/>
                <w:kern w:val="22"/>
                <w:sz w:val="20"/>
                <w:szCs w:val="20"/>
                <w:lang w:val="ru-RU"/>
              </w:rPr>
              <w:t>, имеющего ограниченные биогеографические характеристики и образующего обширные, почти моноспецифические основания, благоприятствует глубоководным флангам этого района при очень узком океанографическом режиме.</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M</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7"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r>
      <w:tr w:rsidR="004A39AD" w:rsidRPr="003D4111" w:rsidTr="00940363">
        <w:tc>
          <w:tcPr>
            <w:tcW w:w="9687" w:type="dxa"/>
            <w:tcBorders>
              <w:top w:val="single" w:sz="4" w:space="0" w:color="auto"/>
              <w:left w:val="single" w:sz="4" w:space="0" w:color="auto"/>
              <w:bottom w:val="single" w:sz="4" w:space="0" w:color="auto"/>
              <w:right w:val="single" w:sz="4" w:space="0" w:color="auto"/>
            </w:tcBorders>
            <w:hideMark/>
          </w:tcPr>
          <w:p w:rsidR="004A39AD" w:rsidRPr="003D4111" w:rsidRDefault="004A39AD" w:rsidP="00940363">
            <w:pPr>
              <w:suppressLineNumbers/>
              <w:suppressAutoHyphens/>
              <w:kinsoku w:val="0"/>
              <w:overflowPunct w:val="0"/>
              <w:autoSpaceDE w:val="0"/>
              <w:autoSpaceDN w:val="0"/>
              <w:snapToGrid w:val="0"/>
              <w:rPr>
                <w:b/>
                <w:snapToGrid w:val="0"/>
                <w:kern w:val="22"/>
                <w:sz w:val="20"/>
                <w:szCs w:val="20"/>
              </w:rPr>
            </w:pPr>
            <w:r w:rsidRPr="003D4111">
              <w:rPr>
                <w:b/>
                <w:snapToGrid w:val="0"/>
                <w:kern w:val="22"/>
                <w:sz w:val="20"/>
                <w:szCs w:val="20"/>
              </w:rPr>
              <w:t xml:space="preserve">10. </w:t>
            </w:r>
            <w:bookmarkStart w:id="1" w:name="_Hlk21011357"/>
            <w:proofErr w:type="spellStart"/>
            <w:r w:rsidRPr="003D4111">
              <w:rPr>
                <w:b/>
                <w:snapToGrid w:val="0"/>
                <w:kern w:val="22"/>
                <w:sz w:val="20"/>
                <w:szCs w:val="20"/>
              </w:rPr>
              <w:t>Комплекс</w:t>
            </w:r>
            <w:proofErr w:type="spellEnd"/>
            <w:r w:rsidRPr="003D4111">
              <w:rPr>
                <w:b/>
                <w:snapToGrid w:val="0"/>
                <w:kern w:val="22"/>
                <w:sz w:val="20"/>
                <w:szCs w:val="20"/>
              </w:rPr>
              <w:t xml:space="preserve"> </w:t>
            </w:r>
            <w:proofErr w:type="spellStart"/>
            <w:r w:rsidRPr="003D4111">
              <w:rPr>
                <w:b/>
                <w:snapToGrid w:val="0"/>
                <w:kern w:val="22"/>
                <w:sz w:val="20"/>
                <w:szCs w:val="20"/>
              </w:rPr>
              <w:t>подводных</w:t>
            </w:r>
            <w:proofErr w:type="spellEnd"/>
            <w:r w:rsidRPr="003D4111">
              <w:rPr>
                <w:b/>
                <w:snapToGrid w:val="0"/>
                <w:kern w:val="22"/>
                <w:sz w:val="20"/>
                <w:szCs w:val="20"/>
              </w:rPr>
              <w:t xml:space="preserve"> </w:t>
            </w:r>
            <w:proofErr w:type="spellStart"/>
            <w:r w:rsidRPr="003D4111">
              <w:rPr>
                <w:b/>
                <w:snapToGrid w:val="0"/>
                <w:kern w:val="22"/>
                <w:sz w:val="20"/>
                <w:szCs w:val="20"/>
              </w:rPr>
              <w:t>гор</w:t>
            </w:r>
            <w:proofErr w:type="spellEnd"/>
            <w:r w:rsidRPr="003D4111">
              <w:rPr>
                <w:b/>
                <w:snapToGrid w:val="0"/>
                <w:kern w:val="22"/>
                <w:sz w:val="20"/>
                <w:szCs w:val="20"/>
              </w:rPr>
              <w:t xml:space="preserve"> </w:t>
            </w:r>
            <w:proofErr w:type="spellStart"/>
            <w:r w:rsidRPr="003D4111">
              <w:rPr>
                <w:b/>
                <w:snapToGrid w:val="0"/>
                <w:kern w:val="22"/>
                <w:sz w:val="20"/>
                <w:szCs w:val="20"/>
              </w:rPr>
              <w:t>Атлантис-Метеор</w:t>
            </w:r>
            <w:bookmarkEnd w:id="1"/>
            <w:proofErr w:type="spellEnd"/>
          </w:p>
          <w:p w:rsidR="004A39AD" w:rsidRPr="00C9766A" w:rsidRDefault="004A39AD" w:rsidP="004A39AD">
            <w:pPr>
              <w:numPr>
                <w:ilvl w:val="0"/>
                <w:numId w:val="28"/>
              </w:numPr>
              <w:suppressLineNumbers/>
              <w:shd w:val="clear" w:color="auto" w:fill="FFFFFF"/>
              <w:suppressAutoHyphens/>
              <w:kinsoku w:val="0"/>
              <w:overflowPunct w:val="0"/>
              <w:autoSpaceDE w:val="0"/>
              <w:autoSpaceDN w:val="0"/>
              <w:ind w:left="395"/>
              <w:contextualSpacing/>
              <w:rPr>
                <w:snapToGrid w:val="0"/>
                <w:kern w:val="22"/>
                <w:sz w:val="20"/>
                <w:szCs w:val="20"/>
                <w:lang w:val="ru-RU"/>
              </w:rPr>
            </w:pPr>
            <w:r w:rsidRPr="00C9766A">
              <w:rPr>
                <w:snapToGrid w:val="0"/>
                <w:kern w:val="22"/>
                <w:sz w:val="20"/>
                <w:szCs w:val="20"/>
                <w:lang w:val="ru-RU"/>
              </w:rPr>
              <w:t xml:space="preserve">Местонахождение: </w:t>
            </w:r>
            <w:bookmarkStart w:id="2" w:name="_Hlk22120364"/>
            <w:r w:rsidRPr="00C9766A">
              <w:rPr>
                <w:snapToGrid w:val="0"/>
                <w:kern w:val="22"/>
                <w:sz w:val="20"/>
                <w:szCs w:val="20"/>
                <w:lang w:val="ru-RU"/>
              </w:rPr>
              <w:t>Район расположен примерно в 700 км к югу от Азорских островов и примерно в 1500 км к северо-западу от Африки. Его общая площадь составляет 134 079 км2, а глубина варьируется от 265 м (вершина подводной горы Атлантида) до 4800 м (основание подводной горы Грейт-Метеор). Этот район очерчен параллелями 35º30’0,000’’ и 29º12’0,000’’с.ш. и меридианами 27º0’0,000’’и 31º30’0,000’’з.д.</w:t>
            </w:r>
            <w:bookmarkEnd w:id="2"/>
          </w:p>
          <w:p w:rsidR="004A39AD" w:rsidRPr="00C9766A" w:rsidRDefault="004A39AD" w:rsidP="004A39AD">
            <w:pPr>
              <w:numPr>
                <w:ilvl w:val="0"/>
                <w:numId w:val="28"/>
              </w:numPr>
              <w:suppressLineNumbers/>
              <w:shd w:val="clear" w:color="auto" w:fill="FFFFFF"/>
              <w:suppressAutoHyphens/>
              <w:kinsoku w:val="0"/>
              <w:overflowPunct w:val="0"/>
              <w:autoSpaceDE w:val="0"/>
              <w:autoSpaceDN w:val="0"/>
              <w:ind w:left="395"/>
              <w:contextualSpacing/>
              <w:rPr>
                <w:snapToGrid w:val="0"/>
                <w:kern w:val="22"/>
                <w:sz w:val="20"/>
                <w:szCs w:val="20"/>
                <w:lang w:val="ru-RU"/>
              </w:rPr>
            </w:pPr>
            <w:r w:rsidRPr="00C9766A">
              <w:rPr>
                <w:snapToGrid w:val="0"/>
                <w:kern w:val="22"/>
                <w:sz w:val="20"/>
                <w:szCs w:val="20"/>
                <w:lang w:val="ru-RU"/>
              </w:rPr>
              <w:t xml:space="preserve">Комплекс подводных гор Атлантис-Метеор состоит из 10 подводных гор. Эти подводные горы являются очагами морской флоры и фауны и районами повышенной продуктивности, особенно по сравнению с окружающими их абиссальными районами. Общая площадь этого подводного горного комплекса составляет 134 079 км2 и его глубины варьируются от 265 м (вершина подводной горы Атлантида) до 4800 м (основание подводной горы Грейт-Метеор). В районе насчитывается в общей сложности 437 видов (16% мега- и макрофауны и до 91% </w:t>
            </w:r>
            <w:proofErr w:type="spellStart"/>
            <w:r w:rsidRPr="00C9766A">
              <w:rPr>
                <w:snapToGrid w:val="0"/>
                <w:kern w:val="22"/>
                <w:sz w:val="20"/>
                <w:szCs w:val="20"/>
                <w:lang w:val="ru-RU"/>
              </w:rPr>
              <w:t>мейофауны</w:t>
            </w:r>
            <w:proofErr w:type="spellEnd"/>
            <w:r w:rsidRPr="00C9766A">
              <w:rPr>
                <w:snapToGrid w:val="0"/>
                <w:kern w:val="22"/>
                <w:sz w:val="20"/>
                <w:szCs w:val="20"/>
                <w:lang w:val="ru-RU"/>
              </w:rPr>
              <w:t xml:space="preserve">, </w:t>
            </w:r>
            <w:proofErr w:type="spellStart"/>
            <w:r w:rsidRPr="00C9766A">
              <w:rPr>
                <w:snapToGrid w:val="0"/>
                <w:kern w:val="22"/>
                <w:sz w:val="20"/>
                <w:szCs w:val="20"/>
                <w:lang w:val="ru-RU"/>
              </w:rPr>
              <w:t>эндемичной</w:t>
            </w:r>
            <w:proofErr w:type="spellEnd"/>
            <w:r w:rsidRPr="00C9766A">
              <w:rPr>
                <w:snapToGrid w:val="0"/>
                <w:kern w:val="22"/>
                <w:sz w:val="20"/>
                <w:szCs w:val="20"/>
                <w:lang w:val="ru-RU"/>
              </w:rPr>
              <w:t xml:space="preserve"> для этой группы подводных гор), 3,9% из которых охраняются в соответствии с международным или региональным законодательством.</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keepNext/>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keepNext/>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keepNext/>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keepNext/>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keepNext/>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M</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keepNext/>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7"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keepNext/>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M</w:t>
            </w:r>
          </w:p>
        </w:tc>
      </w:tr>
      <w:tr w:rsidR="004A39AD" w:rsidRPr="003D4111" w:rsidTr="00940363">
        <w:tc>
          <w:tcPr>
            <w:tcW w:w="9687" w:type="dxa"/>
            <w:tcBorders>
              <w:top w:val="single" w:sz="4" w:space="0" w:color="auto"/>
              <w:left w:val="single" w:sz="4" w:space="0" w:color="auto"/>
              <w:bottom w:val="single" w:sz="4" w:space="0" w:color="auto"/>
              <w:right w:val="single" w:sz="4" w:space="0" w:color="auto"/>
            </w:tcBorders>
            <w:hideMark/>
          </w:tcPr>
          <w:p w:rsidR="004A39AD" w:rsidRPr="00C9766A" w:rsidRDefault="004A39AD" w:rsidP="00940363">
            <w:pPr>
              <w:suppressLineNumbers/>
              <w:suppressAutoHyphens/>
              <w:kinsoku w:val="0"/>
              <w:overflowPunct w:val="0"/>
              <w:autoSpaceDE w:val="0"/>
              <w:autoSpaceDN w:val="0"/>
              <w:snapToGrid w:val="0"/>
              <w:rPr>
                <w:b/>
                <w:snapToGrid w:val="0"/>
                <w:kern w:val="22"/>
                <w:sz w:val="20"/>
                <w:szCs w:val="20"/>
                <w:lang w:val="ru-RU"/>
              </w:rPr>
            </w:pPr>
            <w:r w:rsidRPr="00C9766A">
              <w:rPr>
                <w:b/>
                <w:snapToGrid w:val="0"/>
                <w:kern w:val="22"/>
                <w:sz w:val="20"/>
                <w:szCs w:val="20"/>
                <w:lang w:val="ru-RU"/>
              </w:rPr>
              <w:t>11. Хребет к югу от Азорских островов</w:t>
            </w:r>
          </w:p>
          <w:p w:rsidR="004A39AD" w:rsidRPr="00C9766A" w:rsidRDefault="004A39AD" w:rsidP="004A39AD">
            <w:pPr>
              <w:numPr>
                <w:ilvl w:val="0"/>
                <w:numId w:val="28"/>
              </w:numPr>
              <w:suppressLineNumbers/>
              <w:shd w:val="clear" w:color="auto" w:fill="FFFFFF"/>
              <w:suppressAutoHyphens/>
              <w:kinsoku w:val="0"/>
              <w:overflowPunct w:val="0"/>
              <w:autoSpaceDE w:val="0"/>
              <w:autoSpaceDN w:val="0"/>
              <w:ind w:left="395"/>
              <w:contextualSpacing/>
              <w:rPr>
                <w:snapToGrid w:val="0"/>
                <w:kern w:val="22"/>
                <w:sz w:val="20"/>
                <w:szCs w:val="20"/>
                <w:lang w:val="ru-RU"/>
              </w:rPr>
            </w:pPr>
            <w:r w:rsidRPr="00C9766A">
              <w:rPr>
                <w:snapToGrid w:val="0"/>
                <w:kern w:val="22"/>
                <w:sz w:val="20"/>
                <w:szCs w:val="20"/>
                <w:lang w:val="ru-RU"/>
              </w:rPr>
              <w:t xml:space="preserve">Местонахождение: Данный район расположен на берегу Атлантического океана к югу от Азорских островов. Его структуры находятся на глубинах, которые варьируются от 3460 м (предполагаемая глубина – юг зоны разлома Океанограф) до средней, составляющей 2320 м (измеренная глубина на полях </w:t>
            </w:r>
            <w:proofErr w:type="spellStart"/>
            <w:r w:rsidRPr="00C9766A">
              <w:rPr>
                <w:snapToGrid w:val="0"/>
                <w:kern w:val="22"/>
                <w:sz w:val="20"/>
                <w:szCs w:val="20"/>
                <w:lang w:val="ru-RU"/>
              </w:rPr>
              <w:t>Рейнбоу</w:t>
            </w:r>
            <w:proofErr w:type="spellEnd"/>
            <w:r w:rsidRPr="00C9766A">
              <w:rPr>
                <w:snapToGrid w:val="0"/>
                <w:kern w:val="22"/>
                <w:sz w:val="20"/>
                <w:szCs w:val="20"/>
                <w:lang w:val="ru-RU"/>
              </w:rPr>
              <w:t>), и до самой мелкой глубины на хребте Альберто Монако.</w:t>
            </w:r>
          </w:p>
          <w:p w:rsidR="004A39AD" w:rsidRPr="00C9766A" w:rsidRDefault="004A39AD" w:rsidP="004A39AD">
            <w:pPr>
              <w:numPr>
                <w:ilvl w:val="0"/>
                <w:numId w:val="28"/>
              </w:numPr>
              <w:suppressLineNumbers/>
              <w:shd w:val="clear" w:color="auto" w:fill="FFFFFF"/>
              <w:suppressAutoHyphens/>
              <w:kinsoku w:val="0"/>
              <w:overflowPunct w:val="0"/>
              <w:autoSpaceDE w:val="0"/>
              <w:autoSpaceDN w:val="0"/>
              <w:ind w:left="395"/>
              <w:contextualSpacing/>
              <w:rPr>
                <w:snapToGrid w:val="0"/>
                <w:kern w:val="22"/>
                <w:sz w:val="20"/>
                <w:szCs w:val="20"/>
                <w:lang w:val="ru-RU"/>
              </w:rPr>
            </w:pPr>
            <w:r w:rsidRPr="00C9766A">
              <w:rPr>
                <w:snapToGrid w:val="0"/>
                <w:kern w:val="22"/>
                <w:sz w:val="20"/>
                <w:szCs w:val="20"/>
                <w:lang w:val="ru-RU"/>
              </w:rPr>
              <w:t xml:space="preserve">Район охватывает радиальные долины и горные гребни Срединно-Атлантического хребта, от гидротермальных полей </w:t>
            </w:r>
            <w:proofErr w:type="spellStart"/>
            <w:r w:rsidRPr="00C9766A">
              <w:rPr>
                <w:snapToGrid w:val="0"/>
                <w:kern w:val="22"/>
                <w:sz w:val="20"/>
                <w:szCs w:val="20"/>
                <w:lang w:val="ru-RU"/>
              </w:rPr>
              <w:t>Менез</w:t>
            </w:r>
            <w:proofErr w:type="spellEnd"/>
            <w:r w:rsidRPr="00C9766A">
              <w:rPr>
                <w:snapToGrid w:val="0"/>
                <w:kern w:val="22"/>
                <w:sz w:val="20"/>
                <w:szCs w:val="20"/>
                <w:lang w:val="ru-RU"/>
              </w:rPr>
              <w:t xml:space="preserve"> </w:t>
            </w:r>
            <w:proofErr w:type="spellStart"/>
            <w:r w:rsidRPr="00C9766A">
              <w:rPr>
                <w:snapToGrid w:val="0"/>
                <w:kern w:val="22"/>
                <w:sz w:val="20"/>
                <w:szCs w:val="20"/>
                <w:lang w:val="ru-RU"/>
              </w:rPr>
              <w:t>Гвен</w:t>
            </w:r>
            <w:proofErr w:type="spellEnd"/>
            <w:r w:rsidRPr="00C9766A">
              <w:rPr>
                <w:snapToGrid w:val="0"/>
                <w:kern w:val="22"/>
                <w:sz w:val="20"/>
                <w:szCs w:val="20"/>
                <w:lang w:val="ru-RU"/>
              </w:rPr>
              <w:t xml:space="preserve"> до зоны разлома </w:t>
            </w:r>
            <w:proofErr w:type="spellStart"/>
            <w:r w:rsidRPr="00C9766A">
              <w:rPr>
                <w:snapToGrid w:val="0"/>
                <w:kern w:val="22"/>
                <w:sz w:val="20"/>
                <w:szCs w:val="20"/>
                <w:lang w:val="ru-RU"/>
              </w:rPr>
              <w:t>Хейнса</w:t>
            </w:r>
            <w:proofErr w:type="spellEnd"/>
            <w:r w:rsidRPr="00C9766A">
              <w:rPr>
                <w:snapToGrid w:val="0"/>
                <w:kern w:val="22"/>
                <w:sz w:val="20"/>
                <w:szCs w:val="20"/>
                <w:lang w:val="ru-RU"/>
              </w:rPr>
              <w:t xml:space="preserve">. В восточной части гребня хребта этот район включает в себя часть хребта Альберто Монако и местность, похожую на подводные горы, которые ассоциируются с западными частями хребта. В данный район входят три морских охраняемых района (включенных в сеть морских охраняемых районов ОСПАР) – геотермальные поля Лаки </w:t>
            </w:r>
            <w:proofErr w:type="spellStart"/>
            <w:r w:rsidRPr="00C9766A">
              <w:rPr>
                <w:snapToGrid w:val="0"/>
                <w:kern w:val="22"/>
                <w:sz w:val="20"/>
                <w:szCs w:val="20"/>
                <w:lang w:val="ru-RU"/>
              </w:rPr>
              <w:t>Страйк</w:t>
            </w:r>
            <w:proofErr w:type="spellEnd"/>
            <w:r w:rsidRPr="00C9766A">
              <w:rPr>
                <w:snapToGrid w:val="0"/>
                <w:kern w:val="22"/>
                <w:sz w:val="20"/>
                <w:szCs w:val="20"/>
                <w:lang w:val="ru-RU"/>
              </w:rPr>
              <w:t xml:space="preserve">, </w:t>
            </w:r>
            <w:proofErr w:type="spellStart"/>
            <w:r w:rsidRPr="00C9766A">
              <w:rPr>
                <w:snapToGrid w:val="0"/>
                <w:kern w:val="22"/>
                <w:sz w:val="20"/>
                <w:szCs w:val="20"/>
                <w:lang w:val="ru-RU"/>
              </w:rPr>
              <w:t>Менез</w:t>
            </w:r>
            <w:proofErr w:type="spellEnd"/>
            <w:r w:rsidRPr="00C9766A">
              <w:rPr>
                <w:snapToGrid w:val="0"/>
                <w:kern w:val="22"/>
                <w:sz w:val="20"/>
                <w:szCs w:val="20"/>
                <w:lang w:val="ru-RU"/>
              </w:rPr>
              <w:t xml:space="preserve"> </w:t>
            </w:r>
            <w:proofErr w:type="spellStart"/>
            <w:r w:rsidRPr="00C9766A">
              <w:rPr>
                <w:snapToGrid w:val="0"/>
                <w:kern w:val="22"/>
                <w:sz w:val="20"/>
                <w:szCs w:val="20"/>
                <w:lang w:val="ru-RU"/>
              </w:rPr>
              <w:t>Гвен</w:t>
            </w:r>
            <w:proofErr w:type="spellEnd"/>
            <w:r w:rsidRPr="00C9766A">
              <w:rPr>
                <w:snapToGrid w:val="0"/>
                <w:kern w:val="22"/>
                <w:sz w:val="20"/>
                <w:szCs w:val="20"/>
                <w:lang w:val="ru-RU"/>
              </w:rPr>
              <w:t xml:space="preserve"> и </w:t>
            </w:r>
            <w:proofErr w:type="spellStart"/>
            <w:r w:rsidRPr="00C9766A">
              <w:rPr>
                <w:snapToGrid w:val="0"/>
                <w:kern w:val="22"/>
                <w:sz w:val="20"/>
                <w:szCs w:val="20"/>
                <w:lang w:val="ru-RU"/>
              </w:rPr>
              <w:t>Рейнбоу</w:t>
            </w:r>
            <w:proofErr w:type="spellEnd"/>
            <w:r w:rsidRPr="00C9766A">
              <w:rPr>
                <w:snapToGrid w:val="0"/>
                <w:kern w:val="22"/>
                <w:sz w:val="20"/>
                <w:szCs w:val="20"/>
                <w:lang w:val="ru-RU"/>
              </w:rPr>
              <w:t xml:space="preserve">. Для этого района характерны как очаги морской флоры и фауны, так и районы с повышенной продуктивностью по сравнению с окружающими его батиальными и абиссальными районами. Гидротермальные температуры варьируются в диапазоне от 10° </w:t>
            </w:r>
            <w:r w:rsidRPr="003D4111">
              <w:rPr>
                <w:snapToGrid w:val="0"/>
                <w:kern w:val="22"/>
                <w:sz w:val="20"/>
                <w:szCs w:val="20"/>
              </w:rPr>
              <w:t>C</w:t>
            </w:r>
            <w:r w:rsidRPr="00C9766A">
              <w:rPr>
                <w:snapToGrid w:val="0"/>
                <w:kern w:val="22"/>
                <w:sz w:val="20"/>
                <w:szCs w:val="20"/>
                <w:lang w:val="ru-RU"/>
              </w:rPr>
              <w:t xml:space="preserve"> (</w:t>
            </w:r>
            <w:proofErr w:type="spellStart"/>
            <w:r w:rsidRPr="00C9766A">
              <w:rPr>
                <w:snapToGrid w:val="0"/>
                <w:kern w:val="22"/>
                <w:sz w:val="20"/>
                <w:szCs w:val="20"/>
                <w:lang w:val="ru-RU"/>
              </w:rPr>
              <w:t>Менез</w:t>
            </w:r>
            <w:proofErr w:type="spellEnd"/>
            <w:r w:rsidRPr="00C9766A">
              <w:rPr>
                <w:snapToGrid w:val="0"/>
                <w:kern w:val="22"/>
                <w:sz w:val="20"/>
                <w:szCs w:val="20"/>
                <w:lang w:val="ru-RU"/>
              </w:rPr>
              <w:t xml:space="preserve"> </w:t>
            </w:r>
            <w:proofErr w:type="spellStart"/>
            <w:r w:rsidRPr="00C9766A">
              <w:rPr>
                <w:snapToGrid w:val="0"/>
                <w:kern w:val="22"/>
                <w:sz w:val="20"/>
                <w:szCs w:val="20"/>
                <w:lang w:val="ru-RU"/>
              </w:rPr>
              <w:t>Хом</w:t>
            </w:r>
            <w:proofErr w:type="spellEnd"/>
            <w:r w:rsidRPr="00C9766A">
              <w:rPr>
                <w:snapToGrid w:val="0"/>
                <w:kern w:val="22"/>
                <w:sz w:val="20"/>
                <w:szCs w:val="20"/>
                <w:lang w:val="ru-RU"/>
              </w:rPr>
              <w:t xml:space="preserve"> и </w:t>
            </w:r>
            <w:proofErr w:type="spellStart"/>
            <w:r w:rsidRPr="00C9766A">
              <w:rPr>
                <w:snapToGrid w:val="0"/>
                <w:kern w:val="22"/>
                <w:sz w:val="20"/>
                <w:szCs w:val="20"/>
                <w:lang w:val="ru-RU"/>
              </w:rPr>
              <w:t>Салданья</w:t>
            </w:r>
            <w:proofErr w:type="spellEnd"/>
            <w:r w:rsidRPr="00C9766A">
              <w:rPr>
                <w:snapToGrid w:val="0"/>
                <w:kern w:val="22"/>
                <w:sz w:val="20"/>
                <w:szCs w:val="20"/>
                <w:lang w:val="ru-RU"/>
              </w:rPr>
              <w:t xml:space="preserve">) до 362° </w:t>
            </w:r>
            <w:r w:rsidRPr="003D4111">
              <w:rPr>
                <w:snapToGrid w:val="0"/>
                <w:kern w:val="22"/>
                <w:sz w:val="20"/>
                <w:szCs w:val="20"/>
              </w:rPr>
              <w:t>C</w:t>
            </w:r>
            <w:r w:rsidRPr="00C9766A">
              <w:rPr>
                <w:snapToGrid w:val="0"/>
                <w:kern w:val="22"/>
                <w:sz w:val="20"/>
                <w:szCs w:val="20"/>
                <w:lang w:val="ru-RU"/>
              </w:rPr>
              <w:t xml:space="preserve"> (</w:t>
            </w:r>
            <w:proofErr w:type="spellStart"/>
            <w:r w:rsidRPr="00C9766A">
              <w:rPr>
                <w:snapToGrid w:val="0"/>
                <w:kern w:val="22"/>
                <w:sz w:val="20"/>
                <w:szCs w:val="20"/>
                <w:lang w:val="ru-RU"/>
              </w:rPr>
              <w:t>Рейнбоу</w:t>
            </w:r>
            <w:proofErr w:type="spellEnd"/>
            <w:r w:rsidRPr="00C9766A">
              <w:rPr>
                <w:snapToGrid w:val="0"/>
                <w:kern w:val="22"/>
                <w:sz w:val="20"/>
                <w:szCs w:val="20"/>
                <w:lang w:val="ru-RU"/>
              </w:rPr>
              <w:t xml:space="preserve">). Район также имеет особые характеристики морского дна на гребне хребта, где обитают скопления губок, холодноводные кораллы и другая харизматическая фауна. </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7"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r>
      <w:tr w:rsidR="004A39AD" w:rsidRPr="003D4111" w:rsidTr="00940363">
        <w:tc>
          <w:tcPr>
            <w:tcW w:w="9687" w:type="dxa"/>
            <w:tcBorders>
              <w:top w:val="single" w:sz="4" w:space="0" w:color="auto"/>
              <w:left w:val="single" w:sz="4" w:space="0" w:color="auto"/>
              <w:bottom w:val="single" w:sz="4" w:space="0" w:color="auto"/>
              <w:right w:val="single" w:sz="4" w:space="0" w:color="auto"/>
            </w:tcBorders>
            <w:hideMark/>
          </w:tcPr>
          <w:p w:rsidR="004A39AD" w:rsidRPr="003D4111" w:rsidRDefault="004A39AD" w:rsidP="00940363">
            <w:pPr>
              <w:widowControl w:val="0"/>
              <w:suppressLineNumbers/>
              <w:suppressAutoHyphens/>
              <w:kinsoku w:val="0"/>
              <w:overflowPunct w:val="0"/>
              <w:autoSpaceDE w:val="0"/>
              <w:autoSpaceDN w:val="0"/>
              <w:snapToGrid w:val="0"/>
              <w:rPr>
                <w:b/>
                <w:snapToGrid w:val="0"/>
                <w:kern w:val="22"/>
                <w:sz w:val="20"/>
                <w:szCs w:val="20"/>
              </w:rPr>
            </w:pPr>
            <w:r w:rsidRPr="003D4111">
              <w:rPr>
                <w:b/>
                <w:snapToGrid w:val="0"/>
                <w:kern w:val="22"/>
                <w:sz w:val="20"/>
                <w:szCs w:val="20"/>
              </w:rPr>
              <w:t xml:space="preserve">12. </w:t>
            </w:r>
            <w:proofErr w:type="spellStart"/>
            <w:r w:rsidRPr="003D4111">
              <w:rPr>
                <w:b/>
                <w:snapToGrid w:val="0"/>
                <w:kern w:val="22"/>
                <w:sz w:val="20"/>
                <w:szCs w:val="20"/>
              </w:rPr>
              <w:t>Грасиоза</w:t>
            </w:r>
            <w:proofErr w:type="spellEnd"/>
          </w:p>
          <w:p w:rsidR="004A39AD" w:rsidRPr="00C9766A" w:rsidRDefault="004A39AD" w:rsidP="004A39AD">
            <w:pPr>
              <w:widowControl w:val="0"/>
              <w:numPr>
                <w:ilvl w:val="0"/>
                <w:numId w:val="29"/>
              </w:numPr>
              <w:suppressLineNumbers/>
              <w:suppressAutoHyphens/>
              <w:kinsoku w:val="0"/>
              <w:overflowPunct w:val="0"/>
              <w:autoSpaceDE w:val="0"/>
              <w:autoSpaceDN w:val="0"/>
              <w:ind w:left="395"/>
              <w:contextualSpacing/>
              <w:rPr>
                <w:snapToGrid w:val="0"/>
                <w:color w:val="000000"/>
                <w:kern w:val="22"/>
                <w:sz w:val="20"/>
                <w:szCs w:val="20"/>
                <w:lang w:val="ru-RU"/>
              </w:rPr>
            </w:pPr>
            <w:r w:rsidRPr="00C9766A">
              <w:rPr>
                <w:sz w:val="20"/>
                <w:szCs w:val="20"/>
                <w:lang w:val="ru-RU"/>
              </w:rPr>
              <w:t>Местонахождение</w:t>
            </w:r>
            <w:r w:rsidRPr="00C9766A">
              <w:rPr>
                <w:snapToGrid w:val="0"/>
                <w:color w:val="000000"/>
                <w:kern w:val="22"/>
                <w:sz w:val="20"/>
                <w:szCs w:val="20"/>
                <w:lang w:val="ru-RU"/>
              </w:rPr>
              <w:t xml:space="preserve">: Данный район охватывает воды, окружающие острова </w:t>
            </w:r>
            <w:proofErr w:type="spellStart"/>
            <w:r w:rsidRPr="00C9766A">
              <w:rPr>
                <w:snapToGrid w:val="0"/>
                <w:color w:val="000000"/>
                <w:kern w:val="22"/>
                <w:sz w:val="20"/>
                <w:szCs w:val="20"/>
                <w:lang w:val="ru-RU"/>
              </w:rPr>
              <w:t>Грасиоза</w:t>
            </w:r>
            <w:proofErr w:type="spellEnd"/>
            <w:r w:rsidRPr="00C9766A">
              <w:rPr>
                <w:snapToGrid w:val="0"/>
                <w:color w:val="000000"/>
                <w:kern w:val="22"/>
                <w:sz w:val="20"/>
                <w:szCs w:val="20"/>
                <w:lang w:val="ru-RU"/>
              </w:rPr>
              <w:t xml:space="preserve"> и два небольших островка - </w:t>
            </w:r>
            <w:proofErr w:type="spellStart"/>
            <w:r w:rsidRPr="00C9766A">
              <w:rPr>
                <w:snapToGrid w:val="0"/>
                <w:color w:val="000000"/>
                <w:kern w:val="22"/>
                <w:sz w:val="20"/>
                <w:szCs w:val="20"/>
                <w:lang w:val="ru-RU"/>
              </w:rPr>
              <w:t>Байшо</w:t>
            </w:r>
            <w:proofErr w:type="spellEnd"/>
            <w:r w:rsidRPr="00C9766A">
              <w:rPr>
                <w:snapToGrid w:val="0"/>
                <w:color w:val="000000"/>
                <w:kern w:val="22"/>
                <w:sz w:val="20"/>
                <w:szCs w:val="20"/>
                <w:lang w:val="ru-RU"/>
              </w:rPr>
              <w:t xml:space="preserve"> и </w:t>
            </w:r>
            <w:proofErr w:type="spellStart"/>
            <w:r w:rsidRPr="00C9766A">
              <w:rPr>
                <w:snapToGrid w:val="0"/>
                <w:color w:val="000000"/>
                <w:kern w:val="22"/>
                <w:sz w:val="20"/>
                <w:szCs w:val="20"/>
                <w:lang w:val="ru-RU"/>
              </w:rPr>
              <w:t>Прая</w:t>
            </w:r>
            <w:proofErr w:type="spellEnd"/>
            <w:r w:rsidRPr="00C9766A">
              <w:rPr>
                <w:snapToGrid w:val="0"/>
                <w:color w:val="000000"/>
                <w:kern w:val="22"/>
                <w:sz w:val="20"/>
                <w:szCs w:val="20"/>
                <w:lang w:val="ru-RU"/>
              </w:rPr>
              <w:t>. Его площадь составляет 277 км</w:t>
            </w:r>
            <w:r w:rsidRPr="00C9766A">
              <w:rPr>
                <w:snapToGrid w:val="0"/>
                <w:color w:val="000000"/>
                <w:kern w:val="22"/>
                <w:sz w:val="20"/>
                <w:szCs w:val="20"/>
                <w:vertAlign w:val="superscript"/>
                <w:lang w:val="ru-RU"/>
              </w:rPr>
              <w:t>2</w:t>
            </w:r>
            <w:r w:rsidRPr="00C9766A">
              <w:rPr>
                <w:snapToGrid w:val="0"/>
                <w:color w:val="000000"/>
                <w:kern w:val="22"/>
                <w:sz w:val="20"/>
                <w:szCs w:val="20"/>
                <w:lang w:val="ru-RU"/>
              </w:rPr>
              <w:t xml:space="preserve"> и он является самым северным островом Азорских островов Португалии (39.05 </w:t>
            </w:r>
            <w:proofErr w:type="spellStart"/>
            <w:r w:rsidRPr="00C9766A">
              <w:rPr>
                <w:snapToGrid w:val="0"/>
                <w:color w:val="000000"/>
                <w:kern w:val="22"/>
                <w:sz w:val="20"/>
                <w:szCs w:val="20"/>
                <w:lang w:val="ru-RU"/>
              </w:rPr>
              <w:t>с.ш</w:t>
            </w:r>
            <w:proofErr w:type="spellEnd"/>
            <w:r w:rsidRPr="00C9766A">
              <w:rPr>
                <w:snapToGrid w:val="0"/>
                <w:color w:val="000000"/>
                <w:kern w:val="22"/>
                <w:sz w:val="20"/>
                <w:szCs w:val="20"/>
                <w:lang w:val="ru-RU"/>
              </w:rPr>
              <w:t xml:space="preserve">./- 27.99 </w:t>
            </w:r>
            <w:proofErr w:type="spellStart"/>
            <w:r w:rsidRPr="00C9766A">
              <w:rPr>
                <w:snapToGrid w:val="0"/>
                <w:color w:val="000000"/>
                <w:kern w:val="22"/>
                <w:sz w:val="20"/>
                <w:szCs w:val="20"/>
                <w:lang w:val="ru-RU"/>
              </w:rPr>
              <w:t>з.д</w:t>
            </w:r>
            <w:proofErr w:type="spellEnd"/>
            <w:r w:rsidRPr="00C9766A">
              <w:rPr>
                <w:snapToGrid w:val="0"/>
                <w:color w:val="000000"/>
                <w:kern w:val="22"/>
                <w:sz w:val="20"/>
                <w:szCs w:val="20"/>
                <w:lang w:val="ru-RU"/>
              </w:rPr>
              <w:t>.).</w:t>
            </w:r>
          </w:p>
          <w:p w:rsidR="004A39AD" w:rsidRPr="00C9766A" w:rsidRDefault="004A39AD" w:rsidP="004A39AD">
            <w:pPr>
              <w:widowControl w:val="0"/>
              <w:numPr>
                <w:ilvl w:val="0"/>
                <w:numId w:val="30"/>
              </w:numPr>
              <w:suppressLineNumbers/>
              <w:suppressAutoHyphens/>
              <w:kinsoku w:val="0"/>
              <w:overflowPunct w:val="0"/>
              <w:autoSpaceDE w:val="0"/>
              <w:autoSpaceDN w:val="0"/>
              <w:ind w:left="395"/>
              <w:rPr>
                <w:snapToGrid w:val="0"/>
                <w:kern w:val="22"/>
                <w:sz w:val="20"/>
                <w:szCs w:val="20"/>
                <w:lang w:val="ru-RU"/>
              </w:rPr>
            </w:pPr>
            <w:r w:rsidRPr="00C9766A">
              <w:rPr>
                <w:snapToGrid w:val="0"/>
                <w:kern w:val="22"/>
                <w:sz w:val="20"/>
                <w:szCs w:val="20"/>
                <w:lang w:val="ru-RU"/>
              </w:rPr>
              <w:t xml:space="preserve">Это ключевой район для единственной размножающейся популяции уязвимой и </w:t>
            </w:r>
            <w:proofErr w:type="spellStart"/>
            <w:r w:rsidRPr="00C9766A">
              <w:rPr>
                <w:snapToGrid w:val="0"/>
                <w:kern w:val="22"/>
                <w:sz w:val="20"/>
                <w:szCs w:val="20"/>
                <w:lang w:val="ru-RU"/>
              </w:rPr>
              <w:t>эндемичной</w:t>
            </w:r>
            <w:proofErr w:type="spellEnd"/>
            <w:r w:rsidRPr="00C9766A">
              <w:rPr>
                <w:snapToGrid w:val="0"/>
                <w:kern w:val="22"/>
                <w:sz w:val="20"/>
                <w:szCs w:val="20"/>
                <w:lang w:val="ru-RU"/>
              </w:rPr>
              <w:t xml:space="preserve"> </w:t>
            </w:r>
            <w:proofErr w:type="spellStart"/>
            <w:r w:rsidRPr="00C9766A">
              <w:rPr>
                <w:snapToGrid w:val="0"/>
                <w:kern w:val="22"/>
                <w:sz w:val="20"/>
                <w:szCs w:val="20"/>
                <w:lang w:val="ru-RU"/>
              </w:rPr>
              <w:t>прямохвостой</w:t>
            </w:r>
            <w:proofErr w:type="spellEnd"/>
            <w:r w:rsidRPr="00C9766A">
              <w:rPr>
                <w:snapToGrid w:val="0"/>
                <w:kern w:val="22"/>
                <w:sz w:val="20"/>
                <w:szCs w:val="20"/>
                <w:lang w:val="ru-RU"/>
              </w:rPr>
              <w:t xml:space="preserve"> качурки </w:t>
            </w:r>
            <w:proofErr w:type="spellStart"/>
            <w:r w:rsidRPr="00C9766A">
              <w:rPr>
                <w:snapToGrid w:val="0"/>
                <w:kern w:val="22"/>
                <w:sz w:val="20"/>
                <w:szCs w:val="20"/>
                <w:lang w:val="ru-RU"/>
              </w:rPr>
              <w:t>Монтеиро</w:t>
            </w:r>
            <w:proofErr w:type="spellEnd"/>
            <w:r w:rsidRPr="00C9766A">
              <w:rPr>
                <w:snapToGrid w:val="0"/>
                <w:kern w:val="22"/>
                <w:sz w:val="20"/>
                <w:szCs w:val="20"/>
                <w:lang w:val="ru-RU"/>
              </w:rPr>
              <w:t xml:space="preserve"> (</w:t>
            </w:r>
            <w:proofErr w:type="spellStart"/>
            <w:r w:rsidRPr="003D4111">
              <w:rPr>
                <w:i/>
                <w:iCs/>
                <w:snapToGrid w:val="0"/>
                <w:kern w:val="22"/>
                <w:sz w:val="20"/>
                <w:szCs w:val="20"/>
              </w:rPr>
              <w:t>Hydrobates</w:t>
            </w:r>
            <w:proofErr w:type="spellEnd"/>
            <w:r w:rsidRPr="00C9766A">
              <w:rPr>
                <w:i/>
                <w:iCs/>
                <w:snapToGrid w:val="0"/>
                <w:kern w:val="22"/>
                <w:sz w:val="20"/>
                <w:szCs w:val="20"/>
                <w:lang w:val="ru-RU"/>
              </w:rPr>
              <w:t xml:space="preserve"> </w:t>
            </w:r>
            <w:proofErr w:type="spellStart"/>
            <w:r w:rsidRPr="003D4111">
              <w:rPr>
                <w:i/>
                <w:iCs/>
                <w:snapToGrid w:val="0"/>
                <w:kern w:val="22"/>
                <w:sz w:val="20"/>
                <w:szCs w:val="20"/>
              </w:rPr>
              <w:t>monteiroi</w:t>
            </w:r>
            <w:proofErr w:type="spellEnd"/>
            <w:r w:rsidRPr="00C9766A">
              <w:rPr>
                <w:snapToGrid w:val="0"/>
                <w:kern w:val="22"/>
                <w:sz w:val="20"/>
                <w:szCs w:val="20"/>
                <w:lang w:val="ru-RU"/>
              </w:rPr>
              <w:t>), он также важен для размножающейся популяции североатлантического малого буревестника (</w:t>
            </w:r>
            <w:proofErr w:type="spellStart"/>
            <w:r w:rsidRPr="003D4111">
              <w:rPr>
                <w:i/>
                <w:iCs/>
                <w:snapToGrid w:val="0"/>
                <w:kern w:val="22"/>
                <w:sz w:val="20"/>
                <w:szCs w:val="20"/>
              </w:rPr>
              <w:t>Puffinus</w:t>
            </w:r>
            <w:proofErr w:type="spellEnd"/>
            <w:r w:rsidRPr="00C9766A">
              <w:rPr>
                <w:i/>
                <w:iCs/>
                <w:snapToGrid w:val="0"/>
                <w:kern w:val="22"/>
                <w:sz w:val="20"/>
                <w:szCs w:val="20"/>
                <w:lang w:val="ru-RU"/>
              </w:rPr>
              <w:t xml:space="preserve"> </w:t>
            </w:r>
            <w:proofErr w:type="spellStart"/>
            <w:r w:rsidRPr="003D4111">
              <w:rPr>
                <w:i/>
                <w:iCs/>
                <w:snapToGrid w:val="0"/>
                <w:kern w:val="22"/>
                <w:sz w:val="20"/>
                <w:szCs w:val="20"/>
              </w:rPr>
              <w:t>lherminieri</w:t>
            </w:r>
            <w:proofErr w:type="spellEnd"/>
            <w:r w:rsidRPr="00C9766A">
              <w:rPr>
                <w:i/>
                <w:iCs/>
                <w:snapToGrid w:val="0"/>
                <w:kern w:val="22"/>
                <w:sz w:val="20"/>
                <w:szCs w:val="20"/>
                <w:lang w:val="ru-RU"/>
              </w:rPr>
              <w:t xml:space="preserve"> </w:t>
            </w:r>
            <w:proofErr w:type="spellStart"/>
            <w:r w:rsidRPr="003D4111">
              <w:rPr>
                <w:i/>
                <w:iCs/>
                <w:snapToGrid w:val="0"/>
                <w:kern w:val="22"/>
                <w:sz w:val="20"/>
                <w:szCs w:val="20"/>
              </w:rPr>
              <w:t>baroli</w:t>
            </w:r>
            <w:proofErr w:type="spellEnd"/>
            <w:r w:rsidRPr="00C9766A">
              <w:rPr>
                <w:snapToGrid w:val="0"/>
                <w:kern w:val="22"/>
                <w:sz w:val="20"/>
                <w:szCs w:val="20"/>
                <w:lang w:val="ru-RU"/>
              </w:rPr>
              <w:t xml:space="preserve">), который внесен в список ОСПАР как угрожаемый и/или исчезающий вид. В этих водах встречаются многие другие морские птицы, например, </w:t>
            </w:r>
            <w:proofErr w:type="spellStart"/>
            <w:r w:rsidRPr="00C9766A">
              <w:rPr>
                <w:snapToGrid w:val="0"/>
                <w:kern w:val="22"/>
                <w:sz w:val="20"/>
                <w:szCs w:val="20"/>
                <w:lang w:val="ru-RU"/>
              </w:rPr>
              <w:t>м</w:t>
            </w:r>
            <w:r w:rsidRPr="00C9766A">
              <w:rPr>
                <w:sz w:val="20"/>
                <w:szCs w:val="20"/>
                <w:shd w:val="clear" w:color="auto" w:fill="FFFFFF"/>
                <w:lang w:val="ru-RU"/>
              </w:rPr>
              <w:t>адейрская</w:t>
            </w:r>
            <w:proofErr w:type="spellEnd"/>
            <w:r w:rsidRPr="00C9766A">
              <w:rPr>
                <w:sz w:val="20"/>
                <w:szCs w:val="20"/>
                <w:shd w:val="clear" w:color="auto" w:fill="FFFFFF"/>
                <w:lang w:val="ru-RU"/>
              </w:rPr>
              <w:t xml:space="preserve"> качурка</w:t>
            </w:r>
            <w:r w:rsidRPr="00C9766A">
              <w:rPr>
                <w:snapToGrid w:val="0"/>
                <w:kern w:val="22"/>
                <w:sz w:val="20"/>
                <w:szCs w:val="20"/>
                <w:lang w:val="ru-RU"/>
              </w:rPr>
              <w:t xml:space="preserve"> (</w:t>
            </w:r>
            <w:proofErr w:type="spellStart"/>
            <w:r w:rsidRPr="003D4111">
              <w:rPr>
                <w:i/>
                <w:iCs/>
                <w:snapToGrid w:val="0"/>
                <w:kern w:val="22"/>
                <w:sz w:val="20"/>
                <w:szCs w:val="20"/>
              </w:rPr>
              <w:t>Hydrobates</w:t>
            </w:r>
            <w:proofErr w:type="spellEnd"/>
            <w:r w:rsidRPr="00C9766A">
              <w:rPr>
                <w:i/>
                <w:iCs/>
                <w:snapToGrid w:val="0"/>
                <w:kern w:val="22"/>
                <w:sz w:val="20"/>
                <w:szCs w:val="20"/>
                <w:lang w:val="ru-RU"/>
              </w:rPr>
              <w:t xml:space="preserve"> </w:t>
            </w:r>
            <w:proofErr w:type="spellStart"/>
            <w:r w:rsidRPr="003D4111">
              <w:rPr>
                <w:i/>
                <w:iCs/>
                <w:snapToGrid w:val="0"/>
                <w:kern w:val="22"/>
                <w:sz w:val="20"/>
                <w:szCs w:val="20"/>
              </w:rPr>
              <w:t>castro</w:t>
            </w:r>
            <w:proofErr w:type="spellEnd"/>
            <w:r w:rsidRPr="00C9766A">
              <w:rPr>
                <w:snapToGrid w:val="0"/>
                <w:kern w:val="22"/>
                <w:sz w:val="20"/>
                <w:szCs w:val="20"/>
                <w:lang w:val="ru-RU"/>
              </w:rPr>
              <w:t>), а</w:t>
            </w:r>
            <w:r w:rsidRPr="00C9766A">
              <w:rPr>
                <w:sz w:val="20"/>
                <w:szCs w:val="20"/>
                <w:shd w:val="clear" w:color="auto" w:fill="FFFFFF"/>
                <w:lang w:val="ru-RU"/>
              </w:rPr>
              <w:t>тлантический пёстрый буревестник</w:t>
            </w:r>
            <w:r w:rsidRPr="00C9766A">
              <w:rPr>
                <w:snapToGrid w:val="0"/>
                <w:kern w:val="22"/>
                <w:sz w:val="20"/>
                <w:szCs w:val="20"/>
                <w:lang w:val="ru-RU"/>
              </w:rPr>
              <w:t xml:space="preserve"> (</w:t>
            </w:r>
            <w:proofErr w:type="spellStart"/>
            <w:r w:rsidRPr="003D4111">
              <w:rPr>
                <w:i/>
                <w:iCs/>
                <w:snapToGrid w:val="0"/>
                <w:kern w:val="22"/>
                <w:sz w:val="20"/>
                <w:szCs w:val="20"/>
              </w:rPr>
              <w:t>Calonectris</w:t>
            </w:r>
            <w:proofErr w:type="spellEnd"/>
            <w:r w:rsidRPr="00C9766A">
              <w:rPr>
                <w:i/>
                <w:iCs/>
                <w:snapToGrid w:val="0"/>
                <w:kern w:val="22"/>
                <w:sz w:val="20"/>
                <w:szCs w:val="20"/>
                <w:lang w:val="ru-RU"/>
              </w:rPr>
              <w:t xml:space="preserve"> </w:t>
            </w:r>
            <w:r w:rsidRPr="003D4111">
              <w:rPr>
                <w:i/>
                <w:iCs/>
                <w:snapToGrid w:val="0"/>
                <w:kern w:val="22"/>
                <w:sz w:val="20"/>
                <w:szCs w:val="20"/>
              </w:rPr>
              <w:t>borealis</w:t>
            </w:r>
            <w:r w:rsidRPr="00C9766A">
              <w:rPr>
                <w:snapToGrid w:val="0"/>
                <w:kern w:val="22"/>
                <w:sz w:val="20"/>
                <w:szCs w:val="20"/>
                <w:lang w:val="ru-RU"/>
              </w:rPr>
              <w:t>), речная крачка (</w:t>
            </w:r>
            <w:r w:rsidRPr="003D4111">
              <w:rPr>
                <w:i/>
                <w:iCs/>
                <w:snapToGrid w:val="0"/>
                <w:kern w:val="22"/>
                <w:sz w:val="20"/>
                <w:szCs w:val="20"/>
              </w:rPr>
              <w:t>Sterna</w:t>
            </w:r>
            <w:r w:rsidRPr="00C9766A">
              <w:rPr>
                <w:i/>
                <w:iCs/>
                <w:snapToGrid w:val="0"/>
                <w:kern w:val="22"/>
                <w:sz w:val="20"/>
                <w:szCs w:val="20"/>
                <w:lang w:val="ru-RU"/>
              </w:rPr>
              <w:t xml:space="preserve"> </w:t>
            </w:r>
            <w:proofErr w:type="spellStart"/>
            <w:r w:rsidRPr="003D4111">
              <w:rPr>
                <w:i/>
                <w:iCs/>
                <w:snapToGrid w:val="0"/>
                <w:kern w:val="22"/>
                <w:sz w:val="20"/>
                <w:szCs w:val="20"/>
              </w:rPr>
              <w:t>hirundo</w:t>
            </w:r>
            <w:proofErr w:type="spellEnd"/>
            <w:r w:rsidRPr="00C9766A">
              <w:rPr>
                <w:snapToGrid w:val="0"/>
                <w:kern w:val="22"/>
                <w:sz w:val="20"/>
                <w:szCs w:val="20"/>
                <w:lang w:val="ru-RU"/>
              </w:rPr>
              <w:t>) и розовая крачка (</w:t>
            </w:r>
            <w:r w:rsidRPr="003D4111">
              <w:rPr>
                <w:i/>
                <w:iCs/>
                <w:snapToGrid w:val="0"/>
                <w:kern w:val="22"/>
                <w:sz w:val="20"/>
                <w:szCs w:val="20"/>
              </w:rPr>
              <w:t>Sterna</w:t>
            </w:r>
            <w:r w:rsidRPr="00C9766A">
              <w:rPr>
                <w:i/>
                <w:iCs/>
                <w:snapToGrid w:val="0"/>
                <w:kern w:val="22"/>
                <w:sz w:val="20"/>
                <w:szCs w:val="20"/>
                <w:lang w:val="ru-RU"/>
              </w:rPr>
              <w:t xml:space="preserve"> </w:t>
            </w:r>
            <w:proofErr w:type="spellStart"/>
            <w:r w:rsidRPr="003D4111">
              <w:rPr>
                <w:i/>
                <w:iCs/>
                <w:snapToGrid w:val="0"/>
                <w:kern w:val="22"/>
                <w:sz w:val="20"/>
                <w:szCs w:val="20"/>
              </w:rPr>
              <w:t>dougallii</w:t>
            </w:r>
            <w:proofErr w:type="spellEnd"/>
            <w:r w:rsidRPr="00C9766A">
              <w:rPr>
                <w:snapToGrid w:val="0"/>
                <w:kern w:val="22"/>
                <w:sz w:val="20"/>
                <w:szCs w:val="20"/>
                <w:lang w:val="ru-RU"/>
              </w:rPr>
              <w:t>). Все эти виды имеют низкие показатели восстановления и очень чувствительны к деградации или истощению окружающей среды в результате деятельности человека.</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color w:val="000000"/>
                <w:kern w:val="22"/>
                <w:sz w:val="20"/>
                <w:szCs w:val="20"/>
              </w:rPr>
            </w:pPr>
            <w:r w:rsidRPr="003D4111">
              <w:rPr>
                <w:snapToGrid w:val="0"/>
                <w:color w:val="00000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color w:val="000000"/>
                <w:kern w:val="22"/>
                <w:sz w:val="20"/>
                <w:szCs w:val="20"/>
              </w:rPr>
            </w:pPr>
            <w:r w:rsidRPr="003D4111">
              <w:rPr>
                <w:snapToGrid w:val="0"/>
                <w:color w:val="00000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color w:val="000000"/>
                <w:kern w:val="22"/>
                <w:sz w:val="20"/>
                <w:szCs w:val="20"/>
              </w:rPr>
            </w:pPr>
            <w:r w:rsidRPr="003D4111">
              <w:rPr>
                <w:snapToGrid w:val="0"/>
                <w:color w:val="00000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color w:val="000000"/>
                <w:kern w:val="22"/>
                <w:sz w:val="20"/>
                <w:szCs w:val="20"/>
              </w:rPr>
            </w:pPr>
            <w:r w:rsidRPr="003D4111">
              <w:rPr>
                <w:snapToGrid w:val="0"/>
                <w:color w:val="00000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color w:val="000000"/>
                <w:kern w:val="22"/>
                <w:sz w:val="20"/>
                <w:szCs w:val="20"/>
              </w:rPr>
            </w:pPr>
            <w:r w:rsidRPr="003D4111">
              <w:rPr>
                <w:snapToGrid w:val="0"/>
                <w:color w:val="000000"/>
                <w:kern w:val="22"/>
                <w:sz w:val="20"/>
                <w:szCs w:val="20"/>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color w:val="000000"/>
                <w:kern w:val="22"/>
                <w:sz w:val="20"/>
                <w:szCs w:val="20"/>
              </w:rPr>
            </w:pPr>
            <w:r w:rsidRPr="003D4111">
              <w:rPr>
                <w:snapToGrid w:val="0"/>
                <w:color w:val="000000"/>
                <w:kern w:val="22"/>
                <w:sz w:val="20"/>
                <w:szCs w:val="20"/>
              </w:rPr>
              <w:t>-</w:t>
            </w:r>
          </w:p>
        </w:tc>
        <w:tc>
          <w:tcPr>
            <w:tcW w:w="507"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color w:val="000000"/>
                <w:kern w:val="22"/>
                <w:sz w:val="20"/>
                <w:szCs w:val="20"/>
              </w:rPr>
            </w:pPr>
            <w:r w:rsidRPr="003D4111">
              <w:rPr>
                <w:snapToGrid w:val="0"/>
                <w:color w:val="000000"/>
                <w:kern w:val="22"/>
                <w:sz w:val="20"/>
                <w:szCs w:val="20"/>
              </w:rPr>
              <w:t>-</w:t>
            </w:r>
          </w:p>
        </w:tc>
      </w:tr>
      <w:tr w:rsidR="004A39AD" w:rsidRPr="003D4111" w:rsidTr="00940363">
        <w:tc>
          <w:tcPr>
            <w:tcW w:w="9687" w:type="dxa"/>
            <w:tcBorders>
              <w:top w:val="single" w:sz="4" w:space="0" w:color="auto"/>
              <w:left w:val="single" w:sz="4" w:space="0" w:color="auto"/>
              <w:bottom w:val="single" w:sz="4" w:space="0" w:color="auto"/>
              <w:right w:val="single" w:sz="4" w:space="0" w:color="auto"/>
            </w:tcBorders>
            <w:hideMark/>
          </w:tcPr>
          <w:p w:rsidR="004A39AD" w:rsidRPr="003D4111" w:rsidRDefault="004A39AD" w:rsidP="00940363">
            <w:pPr>
              <w:widowControl w:val="0"/>
              <w:suppressLineNumbers/>
              <w:suppressAutoHyphens/>
              <w:kinsoku w:val="0"/>
              <w:overflowPunct w:val="0"/>
              <w:autoSpaceDE w:val="0"/>
              <w:autoSpaceDN w:val="0"/>
              <w:jc w:val="left"/>
              <w:outlineLvl w:val="1"/>
              <w:rPr>
                <w:b/>
                <w:snapToGrid w:val="0"/>
                <w:kern w:val="22"/>
                <w:sz w:val="20"/>
                <w:szCs w:val="20"/>
              </w:rPr>
            </w:pPr>
            <w:bookmarkStart w:id="3" w:name="_Toc118827476"/>
            <w:r w:rsidRPr="003D4111">
              <w:rPr>
                <w:b/>
                <w:snapToGrid w:val="0"/>
                <w:kern w:val="22"/>
                <w:sz w:val="20"/>
                <w:szCs w:val="20"/>
              </w:rPr>
              <w:t xml:space="preserve">13. </w:t>
            </w:r>
            <w:proofErr w:type="spellStart"/>
            <w:r w:rsidRPr="003D4111">
              <w:rPr>
                <w:b/>
                <w:snapToGrid w:val="0"/>
                <w:kern w:val="22"/>
                <w:sz w:val="20"/>
                <w:szCs w:val="20"/>
              </w:rPr>
              <w:t>Северное</w:t>
            </w:r>
            <w:proofErr w:type="spellEnd"/>
            <w:r w:rsidRPr="003D4111">
              <w:rPr>
                <w:b/>
                <w:snapToGrid w:val="0"/>
                <w:kern w:val="22"/>
                <w:sz w:val="20"/>
                <w:szCs w:val="20"/>
              </w:rPr>
              <w:t xml:space="preserve"> </w:t>
            </w:r>
            <w:proofErr w:type="spellStart"/>
            <w:r w:rsidRPr="003D4111">
              <w:rPr>
                <w:b/>
                <w:snapToGrid w:val="0"/>
                <w:kern w:val="22"/>
                <w:sz w:val="20"/>
                <w:szCs w:val="20"/>
              </w:rPr>
              <w:t>плато</w:t>
            </w:r>
            <w:proofErr w:type="spellEnd"/>
            <w:r w:rsidRPr="003D4111">
              <w:rPr>
                <w:b/>
                <w:snapToGrid w:val="0"/>
                <w:kern w:val="22"/>
                <w:sz w:val="20"/>
                <w:szCs w:val="20"/>
              </w:rPr>
              <w:t xml:space="preserve"> </w:t>
            </w:r>
            <w:proofErr w:type="spellStart"/>
            <w:r w:rsidRPr="003D4111">
              <w:rPr>
                <w:b/>
                <w:snapToGrid w:val="0"/>
                <w:kern w:val="22"/>
                <w:sz w:val="20"/>
                <w:szCs w:val="20"/>
              </w:rPr>
              <w:t>Азорских</w:t>
            </w:r>
            <w:proofErr w:type="spellEnd"/>
            <w:r w:rsidRPr="003D4111">
              <w:rPr>
                <w:b/>
                <w:snapToGrid w:val="0"/>
                <w:kern w:val="22"/>
                <w:sz w:val="20"/>
                <w:szCs w:val="20"/>
              </w:rPr>
              <w:t xml:space="preserve"> </w:t>
            </w:r>
            <w:proofErr w:type="spellStart"/>
            <w:r w:rsidRPr="003D4111">
              <w:rPr>
                <w:b/>
                <w:snapToGrid w:val="0"/>
                <w:kern w:val="22"/>
                <w:sz w:val="20"/>
                <w:szCs w:val="20"/>
              </w:rPr>
              <w:t>островов</w:t>
            </w:r>
            <w:bookmarkEnd w:id="3"/>
            <w:proofErr w:type="spellEnd"/>
          </w:p>
          <w:p w:rsidR="004A39AD" w:rsidRPr="00C9766A" w:rsidRDefault="004A39AD" w:rsidP="004A39AD">
            <w:pPr>
              <w:widowControl w:val="0"/>
              <w:numPr>
                <w:ilvl w:val="0"/>
                <w:numId w:val="31"/>
              </w:numPr>
              <w:suppressLineNumbers/>
              <w:suppressAutoHyphens/>
              <w:kinsoku w:val="0"/>
              <w:overflowPunct w:val="0"/>
              <w:autoSpaceDE w:val="0"/>
              <w:autoSpaceDN w:val="0"/>
              <w:ind w:left="395"/>
              <w:rPr>
                <w:snapToGrid w:val="0"/>
                <w:kern w:val="22"/>
                <w:sz w:val="20"/>
                <w:szCs w:val="20"/>
                <w:lang w:val="ru-RU"/>
              </w:rPr>
            </w:pPr>
            <w:r w:rsidRPr="00C9766A">
              <w:rPr>
                <w:sz w:val="20"/>
                <w:szCs w:val="20"/>
                <w:lang w:val="ru-RU"/>
              </w:rPr>
              <w:t>Местонахождение</w:t>
            </w:r>
            <w:r w:rsidRPr="00C9766A">
              <w:rPr>
                <w:snapToGrid w:val="0"/>
                <w:kern w:val="22"/>
                <w:sz w:val="20"/>
                <w:szCs w:val="20"/>
                <w:lang w:val="ru-RU"/>
              </w:rPr>
              <w:t>: Район расположен на обширной части Атлантического океана, к северу от Азорских островов. В нем находится множество типов сооружений (например, поле гидротермальных источников, Срединно-Атлантический хребет к северу от Азорского морского охраняемого района в открытом море, подводные горы), которые сильно отличаются с точки зрения биологии и геологии и имеют различный состав, местоположение и возраст.</w:t>
            </w:r>
          </w:p>
          <w:p w:rsidR="004A39AD" w:rsidRPr="00C9766A" w:rsidRDefault="004A39AD" w:rsidP="004A39AD">
            <w:pPr>
              <w:widowControl w:val="0"/>
              <w:numPr>
                <w:ilvl w:val="0"/>
                <w:numId w:val="31"/>
              </w:numPr>
              <w:suppressLineNumbers/>
              <w:suppressAutoHyphens/>
              <w:kinsoku w:val="0"/>
              <w:overflowPunct w:val="0"/>
              <w:autoSpaceDE w:val="0"/>
              <w:autoSpaceDN w:val="0"/>
              <w:ind w:left="395"/>
              <w:rPr>
                <w:snapToGrid w:val="0"/>
                <w:kern w:val="22"/>
                <w:sz w:val="20"/>
                <w:szCs w:val="20"/>
                <w:lang w:val="ru-RU"/>
              </w:rPr>
            </w:pPr>
            <w:r w:rsidRPr="00C9766A">
              <w:rPr>
                <w:snapToGrid w:val="0"/>
                <w:kern w:val="22"/>
                <w:sz w:val="20"/>
                <w:szCs w:val="20"/>
                <w:lang w:val="ru-RU"/>
              </w:rPr>
              <w:t xml:space="preserve">Район включает в себя нескольких подводных гор, одно поле гидротермальных источников, глубоководную впадину и большую часть Срединно-Атлантического хребта к северу от Азорского плато. Структуры в нем представляют собой очаги морской флоры и фауны и, в целом, являются районами повышенной продуктивности, особенно по сравнению с окружающими их абиссальными районами. </w:t>
            </w:r>
            <w:proofErr w:type="spellStart"/>
            <w:r w:rsidRPr="00C9766A">
              <w:rPr>
                <w:snapToGrid w:val="0"/>
                <w:kern w:val="22"/>
                <w:sz w:val="20"/>
                <w:szCs w:val="20"/>
                <w:lang w:val="ru-RU"/>
              </w:rPr>
              <w:t>Мойтирра</w:t>
            </w:r>
            <w:proofErr w:type="spellEnd"/>
            <w:r w:rsidRPr="00C9766A">
              <w:rPr>
                <w:snapToGrid w:val="0"/>
                <w:kern w:val="22"/>
                <w:sz w:val="20"/>
                <w:szCs w:val="20"/>
                <w:lang w:val="ru-RU"/>
              </w:rPr>
              <w:t xml:space="preserve"> - первое известное глубоководное поле гидротермальных источников на медленно распространяющемся Срединно-Атлантическом хребте к северу от Азорских островов, что делает этот район весьма уникальным. В районе обнаружено 536 видов, из которых 6 процентов охраняются международным или региональным законодательством.</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color w:val="000000"/>
                <w:kern w:val="22"/>
                <w:sz w:val="20"/>
                <w:szCs w:val="20"/>
              </w:rPr>
            </w:pPr>
            <w:r w:rsidRPr="003D4111">
              <w:rPr>
                <w:snapToGrid w:val="0"/>
                <w:color w:val="00000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color w:val="000000"/>
                <w:kern w:val="22"/>
                <w:sz w:val="20"/>
                <w:szCs w:val="20"/>
              </w:rPr>
            </w:pPr>
            <w:r w:rsidRPr="003D4111">
              <w:rPr>
                <w:snapToGrid w:val="0"/>
                <w:color w:val="00000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color w:val="000000"/>
                <w:kern w:val="22"/>
                <w:sz w:val="20"/>
                <w:szCs w:val="20"/>
              </w:rPr>
            </w:pPr>
            <w:r w:rsidRPr="003D4111">
              <w:rPr>
                <w:snapToGrid w:val="0"/>
                <w:color w:val="00000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color w:val="000000"/>
                <w:kern w:val="22"/>
                <w:sz w:val="20"/>
                <w:szCs w:val="20"/>
              </w:rPr>
            </w:pPr>
            <w:r w:rsidRPr="003D4111">
              <w:rPr>
                <w:snapToGrid w:val="0"/>
                <w:color w:val="00000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color w:val="000000"/>
                <w:kern w:val="22"/>
                <w:sz w:val="20"/>
                <w:szCs w:val="20"/>
              </w:rPr>
            </w:pPr>
            <w:r w:rsidRPr="003D4111">
              <w:rPr>
                <w:snapToGrid w:val="0"/>
                <w:color w:val="000000"/>
                <w:kern w:val="22"/>
                <w:sz w:val="20"/>
                <w:szCs w:val="20"/>
              </w:rPr>
              <w:t>M</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color w:val="000000"/>
                <w:kern w:val="22"/>
                <w:sz w:val="20"/>
                <w:szCs w:val="20"/>
              </w:rPr>
            </w:pPr>
            <w:r w:rsidRPr="003D4111">
              <w:rPr>
                <w:snapToGrid w:val="0"/>
                <w:color w:val="000000"/>
                <w:kern w:val="22"/>
                <w:sz w:val="20"/>
                <w:szCs w:val="20"/>
              </w:rPr>
              <w:t>H</w:t>
            </w:r>
          </w:p>
        </w:tc>
        <w:tc>
          <w:tcPr>
            <w:tcW w:w="507"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color w:val="000000"/>
                <w:kern w:val="22"/>
                <w:sz w:val="20"/>
                <w:szCs w:val="20"/>
              </w:rPr>
            </w:pPr>
            <w:r w:rsidRPr="003D4111">
              <w:rPr>
                <w:snapToGrid w:val="0"/>
                <w:color w:val="000000"/>
                <w:kern w:val="22"/>
                <w:sz w:val="20"/>
                <w:szCs w:val="20"/>
              </w:rPr>
              <w:t>M</w:t>
            </w:r>
          </w:p>
        </w:tc>
      </w:tr>
      <w:tr w:rsidR="004A39AD" w:rsidRPr="003D4111" w:rsidTr="00940363">
        <w:tc>
          <w:tcPr>
            <w:tcW w:w="9687" w:type="dxa"/>
            <w:tcBorders>
              <w:top w:val="single" w:sz="4" w:space="0" w:color="auto"/>
              <w:left w:val="single" w:sz="4" w:space="0" w:color="auto"/>
              <w:bottom w:val="single" w:sz="4" w:space="0" w:color="auto"/>
              <w:right w:val="single" w:sz="4" w:space="0" w:color="auto"/>
            </w:tcBorders>
            <w:hideMark/>
          </w:tcPr>
          <w:p w:rsidR="004A39AD" w:rsidRPr="003D4111" w:rsidRDefault="004A39AD" w:rsidP="00940363">
            <w:pPr>
              <w:widowControl w:val="0"/>
              <w:suppressLineNumbers/>
              <w:suppressAutoHyphens/>
              <w:kinsoku w:val="0"/>
              <w:overflowPunct w:val="0"/>
              <w:autoSpaceDE w:val="0"/>
              <w:autoSpaceDN w:val="0"/>
              <w:jc w:val="left"/>
              <w:outlineLvl w:val="1"/>
              <w:rPr>
                <w:b/>
                <w:caps/>
                <w:snapToGrid w:val="0"/>
                <w:kern w:val="22"/>
                <w:sz w:val="20"/>
                <w:szCs w:val="20"/>
              </w:rPr>
            </w:pPr>
            <w:bookmarkStart w:id="4" w:name="_Toc118827477"/>
            <w:r w:rsidRPr="003D4111">
              <w:rPr>
                <w:b/>
                <w:snapToGrid w:val="0"/>
                <w:kern w:val="22"/>
                <w:sz w:val="20"/>
                <w:szCs w:val="20"/>
              </w:rPr>
              <w:t xml:space="preserve">14. </w:t>
            </w:r>
            <w:proofErr w:type="spellStart"/>
            <w:r w:rsidRPr="003D4111">
              <w:rPr>
                <w:b/>
                <w:snapToGrid w:val="0"/>
                <w:kern w:val="22"/>
                <w:sz w:val="20"/>
                <w:szCs w:val="20"/>
              </w:rPr>
              <w:t>Средняя</w:t>
            </w:r>
            <w:proofErr w:type="spellEnd"/>
            <w:r w:rsidRPr="003D4111">
              <w:rPr>
                <w:b/>
                <w:snapToGrid w:val="0"/>
                <w:kern w:val="22"/>
                <w:sz w:val="20"/>
                <w:szCs w:val="20"/>
              </w:rPr>
              <w:t xml:space="preserve"> </w:t>
            </w:r>
            <w:proofErr w:type="spellStart"/>
            <w:r w:rsidRPr="003D4111">
              <w:rPr>
                <w:b/>
                <w:snapToGrid w:val="0"/>
                <w:kern w:val="22"/>
                <w:sz w:val="20"/>
                <w:szCs w:val="20"/>
              </w:rPr>
              <w:t>североатлантическая</w:t>
            </w:r>
            <w:proofErr w:type="spellEnd"/>
            <w:r w:rsidRPr="003D4111">
              <w:rPr>
                <w:b/>
                <w:snapToGrid w:val="0"/>
                <w:kern w:val="22"/>
                <w:sz w:val="20"/>
                <w:szCs w:val="20"/>
              </w:rPr>
              <w:t xml:space="preserve"> </w:t>
            </w:r>
            <w:proofErr w:type="spellStart"/>
            <w:r w:rsidRPr="003D4111">
              <w:rPr>
                <w:b/>
                <w:snapToGrid w:val="0"/>
                <w:kern w:val="22"/>
                <w:sz w:val="20"/>
                <w:szCs w:val="20"/>
              </w:rPr>
              <w:t>фронтальная</w:t>
            </w:r>
            <w:proofErr w:type="spellEnd"/>
            <w:r w:rsidRPr="003D4111">
              <w:rPr>
                <w:b/>
                <w:snapToGrid w:val="0"/>
                <w:kern w:val="22"/>
                <w:sz w:val="20"/>
                <w:szCs w:val="20"/>
              </w:rPr>
              <w:t xml:space="preserve"> </w:t>
            </w:r>
            <w:proofErr w:type="spellStart"/>
            <w:r w:rsidRPr="003D4111">
              <w:rPr>
                <w:b/>
                <w:snapToGrid w:val="0"/>
                <w:kern w:val="22"/>
                <w:sz w:val="20"/>
                <w:szCs w:val="20"/>
              </w:rPr>
              <w:t>система</w:t>
            </w:r>
            <w:bookmarkEnd w:id="4"/>
            <w:proofErr w:type="spellEnd"/>
            <w:r w:rsidRPr="003D4111">
              <w:rPr>
                <w:b/>
                <w:snapToGrid w:val="0"/>
                <w:kern w:val="22"/>
                <w:sz w:val="20"/>
                <w:szCs w:val="20"/>
              </w:rPr>
              <w:t xml:space="preserve"> </w:t>
            </w:r>
          </w:p>
          <w:p w:rsidR="004A39AD" w:rsidRPr="00C9766A" w:rsidRDefault="004A39AD" w:rsidP="004A39AD">
            <w:pPr>
              <w:widowControl w:val="0"/>
              <w:numPr>
                <w:ilvl w:val="0"/>
                <w:numId w:val="32"/>
              </w:numPr>
              <w:suppressLineNumbers/>
              <w:suppressAutoHyphens/>
              <w:kinsoku w:val="0"/>
              <w:overflowPunct w:val="0"/>
              <w:autoSpaceDE w:val="0"/>
              <w:autoSpaceDN w:val="0"/>
              <w:rPr>
                <w:snapToGrid w:val="0"/>
                <w:kern w:val="22"/>
                <w:sz w:val="20"/>
                <w:szCs w:val="20"/>
                <w:lang w:val="ru-RU"/>
              </w:rPr>
            </w:pPr>
            <w:r w:rsidRPr="00C9766A">
              <w:rPr>
                <w:sz w:val="20"/>
                <w:szCs w:val="20"/>
                <w:lang w:val="ru-RU"/>
              </w:rPr>
              <w:t>Местонахождение</w:t>
            </w:r>
            <w:r w:rsidRPr="00C9766A">
              <w:rPr>
                <w:snapToGrid w:val="0"/>
                <w:kern w:val="22"/>
                <w:sz w:val="20"/>
                <w:szCs w:val="20"/>
                <w:lang w:val="ru-RU"/>
              </w:rPr>
              <w:t xml:space="preserve">: Район имеет четко определенную западную границу (фронт), совпадающую с морской границей Комиссии ОСПАР. Он простирается на север вдоль восточного фланга Большой банки, где образует петлю, называемую Северо-западным углом, и продолжается на восток. Северная граница определяется северной протяженностью субполярного фронта на 54° </w:t>
            </w:r>
            <w:proofErr w:type="spellStart"/>
            <w:r w:rsidRPr="00C9766A">
              <w:rPr>
                <w:snapToGrid w:val="0"/>
                <w:kern w:val="22"/>
                <w:sz w:val="20"/>
                <w:szCs w:val="20"/>
                <w:lang w:val="ru-RU"/>
              </w:rPr>
              <w:t>с.ш</w:t>
            </w:r>
            <w:proofErr w:type="spellEnd"/>
            <w:r w:rsidRPr="00C9766A">
              <w:rPr>
                <w:snapToGrid w:val="0"/>
                <w:kern w:val="22"/>
                <w:sz w:val="20"/>
                <w:szCs w:val="20"/>
                <w:lang w:val="ru-RU"/>
              </w:rPr>
              <w:t>. Северный субарктический фронт топографически зафиксирован в зоне разлома Чарли-Гиббс на 30° западной долготы. Известно, что североатлантическое течение и фронтальные ветви сильно колеблются, с широтными сдвигами до 250-300 км. Таким образом, для фиксирования полной временной изменчивости района были использованы карты среднегодовых значений.</w:t>
            </w:r>
          </w:p>
          <w:p w:rsidR="004A39AD" w:rsidRPr="00C9766A" w:rsidRDefault="004A39AD" w:rsidP="004A39AD">
            <w:pPr>
              <w:widowControl w:val="0"/>
              <w:numPr>
                <w:ilvl w:val="0"/>
                <w:numId w:val="32"/>
              </w:numPr>
              <w:suppressLineNumbers/>
              <w:suppressAutoHyphens/>
              <w:kinsoku w:val="0"/>
              <w:overflowPunct w:val="0"/>
              <w:autoSpaceDE w:val="0"/>
              <w:autoSpaceDN w:val="0"/>
              <w:rPr>
                <w:snapToGrid w:val="0"/>
                <w:kern w:val="22"/>
                <w:sz w:val="20"/>
                <w:szCs w:val="20"/>
                <w:lang w:val="ru-RU"/>
              </w:rPr>
            </w:pPr>
            <w:r w:rsidRPr="00C9766A">
              <w:rPr>
                <w:snapToGrid w:val="0"/>
                <w:kern w:val="22"/>
                <w:sz w:val="20"/>
                <w:szCs w:val="20"/>
                <w:lang w:val="ru-RU"/>
              </w:rPr>
              <w:t xml:space="preserve">Это отдаленный район интенсивной мезомасштабной активности с почти стационарными вихрями и многочисленными тепловыми фронтами, выровненными в зональных полосах. Фронты и вихри повышают первичную продуктивность и сохраняют и концентрируют вторичную продуктивность по вертикали и по горизонтали. Комбинация локального высокоинтенсивного перемешивания в вихрях приводит к неоднородной высокой продуктивности в мелких масштабах. Данные отслеживания, собранные по морским птицам, китам, морским черепахам, тунцу и акулам (некоторые из которых являются угрожаемыми во всем мире) подтверждают, что это район с высокой продуктивностью и высокой интенсивностью в добывании корма, что позволяет предположить, что эта продуктивность распространяется на более высокие трофические уровни. </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M</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7"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r>
      <w:tr w:rsidR="004A39AD" w:rsidRPr="003D4111" w:rsidTr="00940363">
        <w:tc>
          <w:tcPr>
            <w:tcW w:w="9687" w:type="dxa"/>
            <w:tcBorders>
              <w:top w:val="single" w:sz="4" w:space="0" w:color="auto"/>
              <w:left w:val="single" w:sz="4" w:space="0" w:color="auto"/>
              <w:bottom w:val="single" w:sz="4" w:space="0" w:color="auto"/>
              <w:right w:val="single" w:sz="4" w:space="0" w:color="auto"/>
            </w:tcBorders>
          </w:tcPr>
          <w:p w:rsidR="004A39AD" w:rsidRPr="003D4111" w:rsidRDefault="004A39AD" w:rsidP="00940363">
            <w:pPr>
              <w:suppressLineNumbers/>
              <w:suppressAutoHyphens/>
              <w:kinsoku w:val="0"/>
              <w:overflowPunct w:val="0"/>
              <w:autoSpaceDE w:val="0"/>
              <w:autoSpaceDN w:val="0"/>
              <w:jc w:val="left"/>
              <w:outlineLvl w:val="1"/>
              <w:rPr>
                <w:b/>
                <w:snapToGrid w:val="0"/>
                <w:kern w:val="22"/>
                <w:sz w:val="20"/>
                <w:szCs w:val="20"/>
              </w:rPr>
            </w:pPr>
            <w:bookmarkStart w:id="5" w:name="_Toc118827478"/>
            <w:r w:rsidRPr="003D4111">
              <w:rPr>
                <w:b/>
                <w:snapToGrid w:val="0"/>
                <w:kern w:val="22"/>
                <w:sz w:val="20"/>
                <w:szCs w:val="20"/>
              </w:rPr>
              <w:t xml:space="preserve">15. </w:t>
            </w:r>
            <w:proofErr w:type="spellStart"/>
            <w:r w:rsidRPr="003D4111">
              <w:rPr>
                <w:b/>
                <w:snapToGrid w:val="0"/>
                <w:kern w:val="22"/>
                <w:sz w:val="20"/>
                <w:szCs w:val="20"/>
              </w:rPr>
              <w:t>Зона</w:t>
            </w:r>
            <w:proofErr w:type="spellEnd"/>
            <w:r w:rsidRPr="003D4111">
              <w:rPr>
                <w:b/>
                <w:snapToGrid w:val="0"/>
                <w:kern w:val="22"/>
                <w:sz w:val="20"/>
                <w:szCs w:val="20"/>
              </w:rPr>
              <w:t xml:space="preserve"> </w:t>
            </w:r>
            <w:proofErr w:type="spellStart"/>
            <w:r w:rsidRPr="003D4111">
              <w:rPr>
                <w:b/>
                <w:snapToGrid w:val="0"/>
                <w:kern w:val="22"/>
                <w:sz w:val="20"/>
                <w:szCs w:val="20"/>
              </w:rPr>
              <w:t>разлома</w:t>
            </w:r>
            <w:proofErr w:type="spellEnd"/>
            <w:r w:rsidRPr="003D4111">
              <w:rPr>
                <w:b/>
                <w:snapToGrid w:val="0"/>
                <w:kern w:val="22"/>
                <w:sz w:val="20"/>
                <w:szCs w:val="20"/>
              </w:rPr>
              <w:t xml:space="preserve"> </w:t>
            </w:r>
            <w:proofErr w:type="spellStart"/>
            <w:r w:rsidRPr="003D4111">
              <w:rPr>
                <w:b/>
                <w:snapToGrid w:val="0"/>
                <w:kern w:val="22"/>
                <w:sz w:val="20"/>
                <w:szCs w:val="20"/>
              </w:rPr>
              <w:t>Чарли-Гиббс</w:t>
            </w:r>
            <w:bookmarkEnd w:id="5"/>
            <w:proofErr w:type="spellEnd"/>
          </w:p>
          <w:p w:rsidR="004A39AD" w:rsidRPr="00C9766A" w:rsidRDefault="004A39AD" w:rsidP="004A39AD">
            <w:pPr>
              <w:numPr>
                <w:ilvl w:val="0"/>
                <w:numId w:val="33"/>
              </w:numPr>
              <w:suppressLineNumbers/>
              <w:suppressAutoHyphens/>
              <w:kinsoku w:val="0"/>
              <w:overflowPunct w:val="0"/>
              <w:autoSpaceDE w:val="0"/>
              <w:autoSpaceDN w:val="0"/>
              <w:rPr>
                <w:snapToGrid w:val="0"/>
                <w:kern w:val="22"/>
                <w:sz w:val="20"/>
                <w:szCs w:val="20"/>
                <w:lang w:val="ru-RU"/>
              </w:rPr>
            </w:pPr>
            <w:r w:rsidRPr="00C9766A">
              <w:rPr>
                <w:sz w:val="20"/>
                <w:szCs w:val="20"/>
                <w:lang w:val="ru-RU"/>
              </w:rPr>
              <w:t>Местонахождение</w:t>
            </w:r>
            <w:r w:rsidRPr="00C9766A">
              <w:rPr>
                <w:snapToGrid w:val="0"/>
                <w:kern w:val="22"/>
                <w:sz w:val="20"/>
                <w:szCs w:val="20"/>
                <w:lang w:val="ru-RU"/>
              </w:rPr>
              <w:t>: Район простирается от 48° северной широты и 55°188 'северной широты вдоль Срединно-Атлантического хребта, а зона разлома Чарли-Гиббс находится на 52°30' северной широты. Данная территория простирается от 25° до 45° западной долготы, при этом трансформный разлом проходит между 30° и 35° западной долготы. Восточная граница зоны разлома Чарли-Гиббс находится за пределами 42° западной долготы. Южный хребет продолжается непрерывно до 45° западной долготы. Территория включает в себя зону разлома Чарли-Гиббс, извилистую субполярную фронтальную зону и бентосные сообщества Срединно-Атлантического хребта в этом районе, в том числе отдельные подводные горы.</w:t>
            </w:r>
          </w:p>
          <w:p w:rsidR="004A39AD" w:rsidRPr="00C9766A" w:rsidRDefault="004A39AD" w:rsidP="004A39AD">
            <w:pPr>
              <w:numPr>
                <w:ilvl w:val="0"/>
                <w:numId w:val="33"/>
              </w:numPr>
              <w:suppressLineNumbers/>
              <w:suppressAutoHyphens/>
              <w:kinsoku w:val="0"/>
              <w:overflowPunct w:val="0"/>
              <w:autoSpaceDE w:val="0"/>
              <w:autoSpaceDN w:val="0"/>
              <w:rPr>
                <w:snapToGrid w:val="0"/>
                <w:kern w:val="22"/>
                <w:sz w:val="20"/>
                <w:szCs w:val="20"/>
                <w:lang w:val="ru-RU"/>
              </w:rPr>
            </w:pPr>
            <w:r w:rsidRPr="00C9766A">
              <w:rPr>
                <w:rFonts w:eastAsia="MS Mincho"/>
                <w:snapToGrid w:val="0"/>
                <w:kern w:val="22"/>
                <w:sz w:val="20"/>
                <w:szCs w:val="20"/>
                <w:lang w:val="ru-RU"/>
              </w:rPr>
              <w:t xml:space="preserve">Зоны разлома — это типичные топографические особенности океана, возникающие в результате тектоники плит. Зона разлома Чарли-Гиббс является необычным левосторонним двойным трансформным разломом в северной части Атлантического океана, вдоль которого </w:t>
            </w:r>
            <w:proofErr w:type="spellStart"/>
            <w:r w:rsidRPr="00C9766A">
              <w:rPr>
                <w:rFonts w:eastAsia="MS Mincho"/>
                <w:snapToGrid w:val="0"/>
                <w:kern w:val="22"/>
                <w:sz w:val="20"/>
                <w:szCs w:val="20"/>
                <w:lang w:val="ru-RU"/>
              </w:rPr>
              <w:t>рифтовая</w:t>
            </w:r>
            <w:proofErr w:type="spellEnd"/>
            <w:r w:rsidRPr="00C9766A">
              <w:rPr>
                <w:rFonts w:eastAsia="MS Mincho"/>
                <w:snapToGrid w:val="0"/>
                <w:kern w:val="22"/>
                <w:sz w:val="20"/>
                <w:szCs w:val="20"/>
                <w:lang w:val="ru-RU"/>
              </w:rPr>
              <w:t xml:space="preserve"> долина Срединно-Атлантического хребта смещена на 350 км вблизи 52º30′ северной широты. Она связывает глубинно северо-западную и северо-восточную части Атлантического океана (максимальная глубина около 4500 м) и имеет длину около 2000 км, простираясь от около 25° до 45° западной долготы. Это наиболее заметный разлом Срединно-Атлантического хребта между Азорскими островами и Исландией и единственная зона разлома между Европой и Северной Америкой, которая имеет смещение такого размера. Две названные подводные горы, </w:t>
            </w:r>
            <w:proofErr w:type="spellStart"/>
            <w:r w:rsidRPr="00C9766A">
              <w:rPr>
                <w:rFonts w:eastAsia="MS Mincho"/>
                <w:snapToGrid w:val="0"/>
                <w:kern w:val="22"/>
                <w:sz w:val="20"/>
                <w:szCs w:val="20"/>
                <w:lang w:val="ru-RU"/>
              </w:rPr>
              <w:t>Миния</w:t>
            </w:r>
            <w:proofErr w:type="spellEnd"/>
            <w:r w:rsidRPr="00C9766A">
              <w:rPr>
                <w:rFonts w:eastAsia="MS Mincho"/>
                <w:snapToGrid w:val="0"/>
                <w:kern w:val="22"/>
                <w:sz w:val="20"/>
                <w:szCs w:val="20"/>
                <w:lang w:val="ru-RU"/>
              </w:rPr>
              <w:t xml:space="preserve"> и </w:t>
            </w:r>
            <w:proofErr w:type="spellStart"/>
            <w:r w:rsidRPr="00C9766A">
              <w:rPr>
                <w:rFonts w:eastAsia="MS Mincho"/>
                <w:snapToGrid w:val="0"/>
                <w:kern w:val="22"/>
                <w:sz w:val="20"/>
                <w:szCs w:val="20"/>
                <w:lang w:val="ru-RU"/>
              </w:rPr>
              <w:t>Хекате</w:t>
            </w:r>
            <w:proofErr w:type="spellEnd"/>
            <w:r w:rsidRPr="00C9766A">
              <w:rPr>
                <w:rFonts w:eastAsia="MS Mincho"/>
                <w:snapToGrid w:val="0"/>
                <w:kern w:val="22"/>
                <w:sz w:val="20"/>
                <w:szCs w:val="20"/>
                <w:lang w:val="ru-RU"/>
              </w:rPr>
              <w:t xml:space="preserve">, ассоциируются с трансформным разломом. Район является уникальной геоморфологической особенностью в северной части Атлантического океана. Кроме того, он фиксирует геологическую историю Земли, в том числе значительные продолжающиеся геологические процессы. Субполярный фронт также является представителем пелагической фронтальной системы. Район описан, основываясь на его важности как участка северного Срединно-Атлантического хребта и является биогеографически репрезентативным участком северной части Срединно-Атлантического хребта. Имеются данные о скоплениях в этом районе глубоководных губок и холодноводных кораллов. Кроме того, Срединно-Атлантический хребет является единственной обширной твердой поверхностью, доступной для размножения бентосных организмов, питающихся пелагической пищей с континентальных шельфов и изолированных подводных гор в регионе. </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7"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M</w:t>
            </w:r>
          </w:p>
        </w:tc>
      </w:tr>
      <w:tr w:rsidR="004A39AD" w:rsidRPr="003D4111" w:rsidTr="00940363">
        <w:tc>
          <w:tcPr>
            <w:tcW w:w="9687" w:type="dxa"/>
            <w:tcBorders>
              <w:top w:val="single" w:sz="4" w:space="0" w:color="auto"/>
              <w:left w:val="single" w:sz="4" w:space="0" w:color="auto"/>
              <w:bottom w:val="single" w:sz="4" w:space="0" w:color="auto"/>
              <w:right w:val="single" w:sz="4" w:space="0" w:color="auto"/>
            </w:tcBorders>
            <w:hideMark/>
          </w:tcPr>
          <w:p w:rsidR="004A39AD" w:rsidRPr="003D4111" w:rsidRDefault="004A39AD" w:rsidP="00940363">
            <w:pPr>
              <w:suppressLineNumbers/>
              <w:suppressAutoHyphens/>
              <w:kinsoku w:val="0"/>
              <w:overflowPunct w:val="0"/>
              <w:autoSpaceDE w:val="0"/>
              <w:autoSpaceDN w:val="0"/>
              <w:outlineLvl w:val="1"/>
              <w:rPr>
                <w:b/>
                <w:snapToGrid w:val="0"/>
                <w:kern w:val="22"/>
                <w:sz w:val="20"/>
                <w:szCs w:val="20"/>
              </w:rPr>
            </w:pPr>
            <w:bookmarkStart w:id="6" w:name="_Toc118827479"/>
            <w:r w:rsidRPr="003D4111">
              <w:rPr>
                <w:b/>
                <w:snapToGrid w:val="0"/>
                <w:kern w:val="22"/>
                <w:sz w:val="20"/>
                <w:szCs w:val="20"/>
              </w:rPr>
              <w:t xml:space="preserve">16. </w:t>
            </w:r>
            <w:proofErr w:type="spellStart"/>
            <w:r w:rsidRPr="003D4111">
              <w:rPr>
                <w:b/>
                <w:snapToGrid w:val="0"/>
                <w:kern w:val="22"/>
                <w:sz w:val="20"/>
                <w:szCs w:val="20"/>
              </w:rPr>
              <w:t>Южная</w:t>
            </w:r>
            <w:proofErr w:type="spellEnd"/>
            <w:r w:rsidRPr="003D4111">
              <w:rPr>
                <w:b/>
                <w:snapToGrid w:val="0"/>
                <w:kern w:val="22"/>
                <w:sz w:val="20"/>
                <w:szCs w:val="20"/>
              </w:rPr>
              <w:t xml:space="preserve"> </w:t>
            </w:r>
            <w:proofErr w:type="spellStart"/>
            <w:r w:rsidRPr="003D4111">
              <w:rPr>
                <w:b/>
                <w:snapToGrid w:val="0"/>
                <w:kern w:val="22"/>
                <w:sz w:val="20"/>
                <w:szCs w:val="20"/>
              </w:rPr>
              <w:t>часть</w:t>
            </w:r>
            <w:proofErr w:type="spellEnd"/>
            <w:r w:rsidRPr="003D4111">
              <w:rPr>
                <w:b/>
                <w:snapToGrid w:val="0"/>
                <w:kern w:val="22"/>
                <w:sz w:val="20"/>
                <w:szCs w:val="20"/>
              </w:rPr>
              <w:t xml:space="preserve"> </w:t>
            </w:r>
            <w:proofErr w:type="spellStart"/>
            <w:r w:rsidRPr="003D4111">
              <w:rPr>
                <w:b/>
                <w:snapToGrid w:val="0"/>
                <w:kern w:val="22"/>
                <w:sz w:val="20"/>
                <w:szCs w:val="20"/>
              </w:rPr>
              <w:t>хребта</w:t>
            </w:r>
            <w:proofErr w:type="spellEnd"/>
            <w:r w:rsidRPr="003D4111">
              <w:rPr>
                <w:b/>
                <w:snapToGrid w:val="0"/>
                <w:kern w:val="22"/>
                <w:sz w:val="20"/>
                <w:szCs w:val="20"/>
              </w:rPr>
              <w:t xml:space="preserve"> </w:t>
            </w:r>
            <w:proofErr w:type="spellStart"/>
            <w:r w:rsidRPr="003D4111">
              <w:rPr>
                <w:b/>
                <w:snapToGrid w:val="0"/>
                <w:kern w:val="22"/>
                <w:sz w:val="20"/>
                <w:szCs w:val="20"/>
              </w:rPr>
              <w:t>Рейкьянес</w:t>
            </w:r>
            <w:bookmarkEnd w:id="6"/>
            <w:proofErr w:type="spellEnd"/>
            <w:r w:rsidRPr="003D4111">
              <w:rPr>
                <w:b/>
                <w:snapToGrid w:val="0"/>
                <w:kern w:val="22"/>
                <w:sz w:val="20"/>
                <w:szCs w:val="20"/>
              </w:rPr>
              <w:t xml:space="preserve"> </w:t>
            </w:r>
          </w:p>
          <w:p w:rsidR="004A39AD" w:rsidRPr="00C9766A" w:rsidRDefault="004A39AD" w:rsidP="004A39AD">
            <w:pPr>
              <w:numPr>
                <w:ilvl w:val="0"/>
                <w:numId w:val="34"/>
              </w:numPr>
              <w:suppressLineNumbers/>
              <w:suppressAutoHyphens/>
              <w:kinsoku w:val="0"/>
              <w:overflowPunct w:val="0"/>
              <w:autoSpaceDE w:val="0"/>
              <w:autoSpaceDN w:val="0"/>
              <w:ind w:left="395"/>
              <w:rPr>
                <w:snapToGrid w:val="0"/>
                <w:kern w:val="22"/>
                <w:sz w:val="20"/>
                <w:szCs w:val="20"/>
                <w:lang w:val="ru-RU"/>
              </w:rPr>
            </w:pPr>
            <w:r w:rsidRPr="00C9766A">
              <w:rPr>
                <w:sz w:val="20"/>
                <w:szCs w:val="20"/>
                <w:lang w:val="ru-RU"/>
              </w:rPr>
              <w:t>Местонахождение</w:t>
            </w:r>
            <w:r w:rsidRPr="00C9766A">
              <w:rPr>
                <w:snapToGrid w:val="0"/>
                <w:kern w:val="22"/>
                <w:sz w:val="20"/>
                <w:szCs w:val="20"/>
                <w:lang w:val="ru-RU"/>
              </w:rPr>
              <w:t xml:space="preserve">: </w:t>
            </w:r>
            <w:r w:rsidR="002E655B">
              <w:rPr>
                <w:snapToGrid w:val="0"/>
                <w:kern w:val="22"/>
                <w:sz w:val="20"/>
                <w:szCs w:val="20"/>
                <w:lang w:val="ru-RU"/>
              </w:rPr>
              <w:t>С частичным расположением на континентальном шельфе Исландии, с</w:t>
            </w:r>
            <w:r w:rsidRPr="00C9766A">
              <w:rPr>
                <w:snapToGrid w:val="0"/>
                <w:kern w:val="22"/>
                <w:sz w:val="20"/>
                <w:szCs w:val="20"/>
                <w:lang w:val="ru-RU"/>
              </w:rPr>
              <w:t xml:space="preserve">еверной границей этого района является исключительная экономическая зона Исландии. Южная граница района находится на 55°188' северной широты, к северу от субполярного фронта, который разделяет массы теплой и холодной воды и обычно находится между 52° и 53° северной широты. Для определения границ района использовалась контурная горизонталь в 2500 м, поскольку она охватывает большую часть гребня хребта и известное распределение глубоководных кораллов (максимум 2400 м). </w:t>
            </w:r>
          </w:p>
          <w:p w:rsidR="004A39AD" w:rsidRPr="00C9766A" w:rsidRDefault="004A39AD" w:rsidP="004A39AD">
            <w:pPr>
              <w:numPr>
                <w:ilvl w:val="0"/>
                <w:numId w:val="34"/>
              </w:numPr>
              <w:suppressLineNumbers/>
              <w:suppressAutoHyphens/>
              <w:kinsoku w:val="0"/>
              <w:overflowPunct w:val="0"/>
              <w:autoSpaceDE w:val="0"/>
              <w:autoSpaceDN w:val="0"/>
              <w:ind w:left="395"/>
              <w:rPr>
                <w:snapToGrid w:val="0"/>
                <w:kern w:val="22"/>
                <w:sz w:val="20"/>
                <w:szCs w:val="20"/>
                <w:lang w:val="ru-RU"/>
              </w:rPr>
            </w:pPr>
            <w:r w:rsidRPr="00C9766A">
              <w:rPr>
                <w:snapToGrid w:val="0"/>
                <w:kern w:val="22"/>
                <w:sz w:val="20"/>
                <w:szCs w:val="20"/>
                <w:lang w:val="ru-RU"/>
              </w:rPr>
              <w:t xml:space="preserve">Хребет </w:t>
            </w:r>
            <w:proofErr w:type="spellStart"/>
            <w:r w:rsidRPr="00C9766A">
              <w:rPr>
                <w:snapToGrid w:val="0"/>
                <w:kern w:val="22"/>
                <w:sz w:val="20"/>
                <w:szCs w:val="20"/>
                <w:lang w:val="ru-RU"/>
              </w:rPr>
              <w:t>Рейкьянес</w:t>
            </w:r>
            <w:proofErr w:type="spellEnd"/>
            <w:r w:rsidRPr="00C9766A">
              <w:rPr>
                <w:snapToGrid w:val="0"/>
                <w:kern w:val="22"/>
                <w:sz w:val="20"/>
                <w:szCs w:val="20"/>
                <w:lang w:val="ru-RU"/>
              </w:rPr>
              <w:t xml:space="preserve"> является частью главной топографической характеристики Атлантического океана, Срединно-Атлантического хребта. Срединно-Атлантический хребет отделяет Ньюфаундлендскую и </w:t>
            </w:r>
            <w:proofErr w:type="spellStart"/>
            <w:r w:rsidRPr="00C9766A">
              <w:rPr>
                <w:snapToGrid w:val="0"/>
                <w:kern w:val="22"/>
                <w:sz w:val="20"/>
                <w:szCs w:val="20"/>
                <w:lang w:val="ru-RU"/>
              </w:rPr>
              <w:t>Лабрадорскую</w:t>
            </w:r>
            <w:proofErr w:type="spellEnd"/>
            <w:r w:rsidRPr="00C9766A">
              <w:rPr>
                <w:snapToGrid w:val="0"/>
                <w:kern w:val="22"/>
                <w:sz w:val="20"/>
                <w:szCs w:val="20"/>
                <w:lang w:val="ru-RU"/>
              </w:rPr>
              <w:t xml:space="preserve"> котловины от </w:t>
            </w:r>
            <w:proofErr w:type="spellStart"/>
            <w:r w:rsidRPr="00C9766A">
              <w:rPr>
                <w:snapToGrid w:val="0"/>
                <w:kern w:val="22"/>
                <w:sz w:val="20"/>
                <w:szCs w:val="20"/>
                <w:lang w:val="ru-RU"/>
              </w:rPr>
              <w:t>Западно-Европейской</w:t>
            </w:r>
            <w:proofErr w:type="spellEnd"/>
            <w:r w:rsidRPr="00C9766A">
              <w:rPr>
                <w:snapToGrid w:val="0"/>
                <w:kern w:val="22"/>
                <w:sz w:val="20"/>
                <w:szCs w:val="20"/>
                <w:lang w:val="ru-RU"/>
              </w:rPr>
              <w:t xml:space="preserve"> котловины и море </w:t>
            </w:r>
            <w:proofErr w:type="spellStart"/>
            <w:r w:rsidRPr="00C9766A">
              <w:rPr>
                <w:snapToGrid w:val="0"/>
                <w:kern w:val="22"/>
                <w:sz w:val="20"/>
                <w:szCs w:val="20"/>
                <w:lang w:val="ru-RU"/>
              </w:rPr>
              <w:t>Ирмингер</w:t>
            </w:r>
            <w:proofErr w:type="spellEnd"/>
            <w:r w:rsidRPr="00C9766A">
              <w:rPr>
                <w:snapToGrid w:val="0"/>
                <w:kern w:val="22"/>
                <w:sz w:val="20"/>
                <w:szCs w:val="20"/>
                <w:lang w:val="ru-RU"/>
              </w:rPr>
              <w:t xml:space="preserve"> от Исландской котловины, влияя на гидрографию и циркуляцию. Гребень хребта в основном прорезан по всей его длине глубокой </w:t>
            </w:r>
            <w:proofErr w:type="spellStart"/>
            <w:r w:rsidRPr="00C9766A">
              <w:rPr>
                <w:snapToGrid w:val="0"/>
                <w:kern w:val="22"/>
                <w:sz w:val="20"/>
                <w:szCs w:val="20"/>
                <w:lang w:val="ru-RU"/>
              </w:rPr>
              <w:t>рифтовой</w:t>
            </w:r>
            <w:proofErr w:type="spellEnd"/>
            <w:r w:rsidRPr="00C9766A">
              <w:rPr>
                <w:snapToGrid w:val="0"/>
                <w:kern w:val="22"/>
                <w:sz w:val="20"/>
                <w:szCs w:val="20"/>
                <w:lang w:val="ru-RU"/>
              </w:rPr>
              <w:t xml:space="preserve"> долиной, окаймленной высокими </w:t>
            </w:r>
            <w:proofErr w:type="spellStart"/>
            <w:r w:rsidRPr="00C9766A">
              <w:rPr>
                <w:snapToGrid w:val="0"/>
                <w:kern w:val="22"/>
                <w:sz w:val="20"/>
                <w:szCs w:val="20"/>
                <w:lang w:val="ru-RU"/>
              </w:rPr>
              <w:t>рифтовыми</w:t>
            </w:r>
            <w:proofErr w:type="spellEnd"/>
            <w:r w:rsidRPr="00C9766A">
              <w:rPr>
                <w:snapToGrid w:val="0"/>
                <w:kern w:val="22"/>
                <w:sz w:val="20"/>
                <w:szCs w:val="20"/>
                <w:lang w:val="ru-RU"/>
              </w:rPr>
              <w:t xml:space="preserve"> горами, которые граничат с изломанными высокогорными плато. Этот район в значительной степени состоит из вулканической породы, являющейся основой и обеспечивающей твердую поверхность дна для колонизации бентосных сообществ, в том числе уязвимых и </w:t>
            </w:r>
            <w:proofErr w:type="spellStart"/>
            <w:r w:rsidRPr="00C9766A">
              <w:rPr>
                <w:snapToGrid w:val="0"/>
                <w:kern w:val="22"/>
                <w:sz w:val="20"/>
                <w:szCs w:val="20"/>
                <w:lang w:val="ru-RU"/>
              </w:rPr>
              <w:t>средообразующих</w:t>
            </w:r>
            <w:proofErr w:type="spellEnd"/>
            <w:r w:rsidRPr="00C9766A">
              <w:rPr>
                <w:snapToGrid w:val="0"/>
                <w:kern w:val="22"/>
                <w:sz w:val="20"/>
                <w:szCs w:val="20"/>
                <w:lang w:val="ru-RU"/>
              </w:rPr>
              <w:t xml:space="preserve"> видов. Район поддерживает несколько угрожаемых и находящихся под угрозой исчезновения видов акул и скатов. Сам хребет и его сложное гидрографическое положение способствуют усилению вертикального перемешивания и турбулентности, что приводит к повышению над ним продуктивности. Контурная горизонталь в 2500 м использовалась для определения границ района, поскольку она охватывает большую часть гребня хребта и известное распределение глубоководных кораллов.</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M</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M</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7"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w:t>
            </w:r>
          </w:p>
        </w:tc>
      </w:tr>
      <w:tr w:rsidR="004A39AD" w:rsidRPr="003D4111" w:rsidTr="00940363">
        <w:tc>
          <w:tcPr>
            <w:tcW w:w="9687" w:type="dxa"/>
            <w:tcBorders>
              <w:top w:val="single" w:sz="4" w:space="0" w:color="auto"/>
              <w:left w:val="single" w:sz="4" w:space="0" w:color="auto"/>
              <w:bottom w:val="single" w:sz="4" w:space="0" w:color="auto"/>
              <w:right w:val="single" w:sz="4" w:space="0" w:color="auto"/>
            </w:tcBorders>
            <w:hideMark/>
          </w:tcPr>
          <w:p w:rsidR="004A39AD" w:rsidRPr="00C9766A" w:rsidRDefault="004A39AD" w:rsidP="00940363">
            <w:pPr>
              <w:suppressLineNumbers/>
              <w:suppressAutoHyphens/>
              <w:kinsoku w:val="0"/>
              <w:overflowPunct w:val="0"/>
              <w:autoSpaceDE w:val="0"/>
              <w:autoSpaceDN w:val="0"/>
              <w:spacing w:line="280" w:lineRule="atLeast"/>
              <w:ind w:right="540"/>
              <w:jc w:val="left"/>
              <w:outlineLvl w:val="1"/>
              <w:rPr>
                <w:b/>
                <w:caps/>
                <w:snapToGrid w:val="0"/>
                <w:kern w:val="22"/>
                <w:sz w:val="20"/>
                <w:szCs w:val="20"/>
                <w:lang w:val="ru-RU"/>
              </w:rPr>
            </w:pPr>
            <w:bookmarkStart w:id="7" w:name="_Toc118827480"/>
            <w:r w:rsidRPr="00C9766A">
              <w:rPr>
                <w:b/>
                <w:snapToGrid w:val="0"/>
                <w:kern w:val="22"/>
                <w:sz w:val="20"/>
                <w:szCs w:val="20"/>
                <w:lang w:val="ru-RU"/>
              </w:rPr>
              <w:t xml:space="preserve">17. Банки </w:t>
            </w:r>
            <w:proofErr w:type="spellStart"/>
            <w:r w:rsidRPr="00C9766A">
              <w:rPr>
                <w:b/>
                <w:snapToGrid w:val="0"/>
                <w:kern w:val="22"/>
                <w:sz w:val="20"/>
                <w:szCs w:val="20"/>
                <w:lang w:val="ru-RU"/>
              </w:rPr>
              <w:t>Хаттон</w:t>
            </w:r>
            <w:proofErr w:type="spellEnd"/>
            <w:r w:rsidRPr="00C9766A">
              <w:rPr>
                <w:b/>
                <w:snapToGrid w:val="0"/>
                <w:kern w:val="22"/>
                <w:sz w:val="20"/>
                <w:szCs w:val="20"/>
                <w:lang w:val="ru-RU"/>
              </w:rPr>
              <w:t xml:space="preserve"> и </w:t>
            </w:r>
            <w:proofErr w:type="spellStart"/>
            <w:r w:rsidRPr="00C9766A">
              <w:rPr>
                <w:b/>
                <w:snapToGrid w:val="0"/>
                <w:kern w:val="22"/>
                <w:sz w:val="20"/>
                <w:szCs w:val="20"/>
                <w:lang w:val="ru-RU"/>
              </w:rPr>
              <w:t>Роколл</w:t>
            </w:r>
            <w:proofErr w:type="spellEnd"/>
            <w:r w:rsidRPr="00C9766A">
              <w:rPr>
                <w:b/>
                <w:snapToGrid w:val="0"/>
                <w:kern w:val="22"/>
                <w:sz w:val="20"/>
                <w:szCs w:val="20"/>
                <w:lang w:val="ru-RU"/>
              </w:rPr>
              <w:t xml:space="preserve"> и бассейн</w:t>
            </w:r>
            <w:bookmarkEnd w:id="7"/>
          </w:p>
          <w:p w:rsidR="004A39AD" w:rsidRPr="00C9766A" w:rsidRDefault="004A39AD" w:rsidP="004A39AD">
            <w:pPr>
              <w:numPr>
                <w:ilvl w:val="0"/>
                <w:numId w:val="30"/>
              </w:numPr>
              <w:suppressLineNumbers/>
              <w:suppressAutoHyphens/>
              <w:kinsoku w:val="0"/>
              <w:overflowPunct w:val="0"/>
              <w:autoSpaceDE w:val="0"/>
              <w:autoSpaceDN w:val="0"/>
              <w:ind w:left="395"/>
              <w:rPr>
                <w:snapToGrid w:val="0"/>
                <w:kern w:val="22"/>
                <w:sz w:val="20"/>
                <w:szCs w:val="20"/>
                <w:lang w:val="ru-RU"/>
              </w:rPr>
            </w:pPr>
            <w:r w:rsidRPr="00C9766A">
              <w:rPr>
                <w:sz w:val="20"/>
                <w:szCs w:val="20"/>
                <w:lang w:val="ru-RU"/>
              </w:rPr>
              <w:t>Местонахождение</w:t>
            </w:r>
            <w:r w:rsidRPr="00C9766A">
              <w:rPr>
                <w:snapToGrid w:val="0"/>
                <w:kern w:val="22"/>
                <w:sz w:val="20"/>
                <w:szCs w:val="20"/>
                <w:lang w:val="ru-RU"/>
              </w:rPr>
              <w:t xml:space="preserve">: Район расположен в северо-восточной части Атлантического океана примерно в 400-500 км к западу-северо-западу от Ирландии и Соединенного Королевства Великобритании и Северной Ирландии и в 400-500 км к югу-юго-востоку от Исландии. Он включает в себя морское дно и пелагические зоны на глубине менее 3000 м, перекрывающие берега </w:t>
            </w:r>
            <w:proofErr w:type="spellStart"/>
            <w:r w:rsidRPr="00C9766A">
              <w:rPr>
                <w:snapToGrid w:val="0"/>
                <w:kern w:val="22"/>
                <w:sz w:val="20"/>
                <w:szCs w:val="20"/>
                <w:lang w:val="ru-RU"/>
              </w:rPr>
              <w:t>Роколла</w:t>
            </w:r>
            <w:proofErr w:type="spellEnd"/>
            <w:r w:rsidRPr="00C9766A">
              <w:rPr>
                <w:snapToGrid w:val="0"/>
                <w:kern w:val="22"/>
                <w:sz w:val="20"/>
                <w:szCs w:val="20"/>
                <w:lang w:val="ru-RU"/>
              </w:rPr>
              <w:t xml:space="preserve"> и </w:t>
            </w:r>
            <w:proofErr w:type="spellStart"/>
            <w:r w:rsidRPr="00C9766A">
              <w:rPr>
                <w:snapToGrid w:val="0"/>
                <w:kern w:val="22"/>
                <w:sz w:val="20"/>
                <w:szCs w:val="20"/>
                <w:lang w:val="ru-RU"/>
              </w:rPr>
              <w:t>Хаттона</w:t>
            </w:r>
            <w:proofErr w:type="spellEnd"/>
            <w:r w:rsidRPr="00C9766A">
              <w:rPr>
                <w:snapToGrid w:val="0"/>
                <w:kern w:val="22"/>
                <w:sz w:val="20"/>
                <w:szCs w:val="20"/>
                <w:lang w:val="ru-RU"/>
              </w:rPr>
              <w:t xml:space="preserve">, а также бассейн </w:t>
            </w:r>
            <w:proofErr w:type="spellStart"/>
            <w:r w:rsidRPr="00C9766A">
              <w:rPr>
                <w:snapToGrid w:val="0"/>
                <w:kern w:val="22"/>
                <w:sz w:val="20"/>
                <w:szCs w:val="20"/>
                <w:lang w:val="ru-RU"/>
              </w:rPr>
              <w:t>Роколл-Хаттон</w:t>
            </w:r>
            <w:proofErr w:type="spellEnd"/>
            <w:r w:rsidRPr="00C9766A">
              <w:rPr>
                <w:snapToGrid w:val="0"/>
                <w:kern w:val="22"/>
                <w:sz w:val="20"/>
                <w:szCs w:val="20"/>
                <w:lang w:val="ru-RU"/>
              </w:rPr>
              <w:t xml:space="preserve"> между ними. Контурная горизонталь в 3000 м была выбрана для описания границ этого объекта, потому что: </w:t>
            </w:r>
            <w:proofErr w:type="spellStart"/>
            <w:r w:rsidRPr="003D4111">
              <w:rPr>
                <w:snapToGrid w:val="0"/>
                <w:kern w:val="22"/>
                <w:sz w:val="20"/>
                <w:szCs w:val="20"/>
              </w:rPr>
              <w:t>i</w:t>
            </w:r>
            <w:proofErr w:type="spellEnd"/>
            <w:r w:rsidRPr="00C9766A">
              <w:rPr>
                <w:snapToGrid w:val="0"/>
                <w:kern w:val="22"/>
                <w:sz w:val="20"/>
                <w:szCs w:val="20"/>
                <w:lang w:val="ru-RU"/>
              </w:rPr>
              <w:t xml:space="preserve">) она отмечает принятую границу между батиальной и абиссальной средой обитания; </w:t>
            </w:r>
            <w:r w:rsidRPr="003D4111">
              <w:rPr>
                <w:snapToGrid w:val="0"/>
                <w:kern w:val="22"/>
                <w:sz w:val="20"/>
                <w:szCs w:val="20"/>
              </w:rPr>
              <w:t>ii</w:t>
            </w:r>
            <w:r w:rsidRPr="00C9766A">
              <w:rPr>
                <w:snapToGrid w:val="0"/>
                <w:kern w:val="22"/>
                <w:sz w:val="20"/>
                <w:szCs w:val="20"/>
                <w:lang w:val="ru-RU"/>
              </w:rPr>
              <w:t xml:space="preserve">) обзор океанографических данных показывает, что 3000-метровая граница хорошо согласуется с океанографическим влиянием объекта и, следовательно, с его вероятным влиянием на пелагические сообщества, и </w:t>
            </w:r>
            <w:r w:rsidRPr="003D4111">
              <w:rPr>
                <w:snapToGrid w:val="0"/>
                <w:kern w:val="22"/>
                <w:sz w:val="20"/>
                <w:szCs w:val="20"/>
              </w:rPr>
              <w:t>iii</w:t>
            </w:r>
            <w:r w:rsidRPr="00C9766A">
              <w:rPr>
                <w:snapToGrid w:val="0"/>
                <w:kern w:val="22"/>
                <w:sz w:val="20"/>
                <w:szCs w:val="20"/>
                <w:lang w:val="ru-RU"/>
              </w:rPr>
              <w:t xml:space="preserve">) новые данные о птицах и млекопитающих свидетельствуют, что виды используют пелагические районы недалеко от банки, которая находится в границах этого района. </w:t>
            </w:r>
          </w:p>
          <w:p w:rsidR="004A39AD" w:rsidRPr="00C9766A" w:rsidRDefault="004A39AD" w:rsidP="004A39AD">
            <w:pPr>
              <w:numPr>
                <w:ilvl w:val="0"/>
                <w:numId w:val="30"/>
              </w:numPr>
              <w:suppressLineNumbers/>
              <w:suppressAutoHyphens/>
              <w:kinsoku w:val="0"/>
              <w:overflowPunct w:val="0"/>
              <w:autoSpaceDE w:val="0"/>
              <w:autoSpaceDN w:val="0"/>
              <w:ind w:left="395"/>
              <w:rPr>
                <w:snapToGrid w:val="0"/>
                <w:kern w:val="22"/>
                <w:sz w:val="20"/>
                <w:szCs w:val="20"/>
                <w:lang w:val="ru-RU"/>
              </w:rPr>
            </w:pPr>
            <w:r w:rsidRPr="00C9766A">
              <w:rPr>
                <w:snapToGrid w:val="0"/>
                <w:kern w:val="22"/>
                <w:sz w:val="20"/>
                <w:szCs w:val="20"/>
                <w:lang w:val="ru-RU"/>
              </w:rPr>
              <w:t xml:space="preserve">Банки </w:t>
            </w:r>
            <w:proofErr w:type="spellStart"/>
            <w:r w:rsidRPr="00C9766A">
              <w:rPr>
                <w:snapToGrid w:val="0"/>
                <w:kern w:val="22"/>
                <w:sz w:val="20"/>
                <w:szCs w:val="20"/>
                <w:lang w:val="ru-RU"/>
              </w:rPr>
              <w:t>Хаттон</w:t>
            </w:r>
            <w:proofErr w:type="spellEnd"/>
            <w:r w:rsidRPr="00C9766A">
              <w:rPr>
                <w:snapToGrid w:val="0"/>
                <w:kern w:val="22"/>
                <w:sz w:val="20"/>
                <w:szCs w:val="20"/>
                <w:lang w:val="ru-RU"/>
              </w:rPr>
              <w:t xml:space="preserve"> и </w:t>
            </w:r>
            <w:proofErr w:type="spellStart"/>
            <w:r w:rsidRPr="00C9766A">
              <w:rPr>
                <w:snapToGrid w:val="0"/>
                <w:kern w:val="22"/>
                <w:sz w:val="20"/>
                <w:szCs w:val="20"/>
                <w:lang w:val="ru-RU"/>
              </w:rPr>
              <w:t>Роколл</w:t>
            </w:r>
            <w:proofErr w:type="spellEnd"/>
            <w:r w:rsidRPr="00C9766A">
              <w:rPr>
                <w:snapToGrid w:val="0"/>
                <w:kern w:val="22"/>
                <w:sz w:val="20"/>
                <w:szCs w:val="20"/>
                <w:lang w:val="ru-RU"/>
              </w:rPr>
              <w:t xml:space="preserve">, а также связанные с ними склоны и соединительный бассейн, представляют собой морские пелагические и батиальные места обитания от поверхности до глубины 3000 м, которые в совокупности представляют собой уникальную и выдающуюся особенность Северо-Восточной Атлантики. Район имеет высокую гетерогенность среды обитания и поддерживает широкий спектр бентосных и пелагических видов и связанных с ними экосистем. Его сравнительно отдаленное океаническое расположение в нескольких сотнях километров от континентального шельфа обеспечивает ему уровень защиты и изоляции от многих видов человеческой деятельности, которые, как известно, ухудшают естественную морскую среду. </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M</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M</w:t>
            </w:r>
          </w:p>
        </w:tc>
        <w:tc>
          <w:tcPr>
            <w:tcW w:w="506"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H</w:t>
            </w:r>
          </w:p>
        </w:tc>
        <w:tc>
          <w:tcPr>
            <w:tcW w:w="507" w:type="dxa"/>
            <w:tcBorders>
              <w:top w:val="single" w:sz="4" w:space="0" w:color="auto"/>
              <w:left w:val="single" w:sz="4" w:space="0" w:color="auto"/>
              <w:bottom w:val="single" w:sz="4" w:space="0" w:color="auto"/>
              <w:right w:val="single" w:sz="4" w:space="0" w:color="auto"/>
            </w:tcBorders>
            <w:vAlign w:val="center"/>
            <w:hideMark/>
          </w:tcPr>
          <w:p w:rsidR="004A39AD" w:rsidRPr="003D4111" w:rsidRDefault="004A39AD" w:rsidP="00940363">
            <w:pPr>
              <w:suppressLineNumbers/>
              <w:suppressAutoHyphens/>
              <w:kinsoku w:val="0"/>
              <w:overflowPunct w:val="0"/>
              <w:autoSpaceDE w:val="0"/>
              <w:autoSpaceDN w:val="0"/>
              <w:snapToGrid w:val="0"/>
              <w:jc w:val="center"/>
              <w:rPr>
                <w:snapToGrid w:val="0"/>
                <w:kern w:val="22"/>
                <w:sz w:val="20"/>
                <w:szCs w:val="20"/>
              </w:rPr>
            </w:pPr>
            <w:r w:rsidRPr="003D4111">
              <w:rPr>
                <w:snapToGrid w:val="0"/>
                <w:kern w:val="22"/>
                <w:sz w:val="20"/>
                <w:szCs w:val="20"/>
              </w:rPr>
              <w:t>M</w:t>
            </w:r>
          </w:p>
        </w:tc>
      </w:tr>
    </w:tbl>
    <w:p w:rsidR="004A39AD" w:rsidRPr="003D4111" w:rsidRDefault="004A39AD" w:rsidP="004A39AD">
      <w:pPr>
        <w:rPr>
          <w:sz w:val="20"/>
          <w:szCs w:val="20"/>
        </w:rPr>
      </w:pPr>
    </w:p>
    <w:p w:rsidR="00B3369F" w:rsidRPr="00C9161D" w:rsidRDefault="0009640F" w:rsidP="0009640F">
      <w:pPr>
        <w:jc w:val="center"/>
      </w:pPr>
      <w:r>
        <w:t>__________</w:t>
      </w:r>
    </w:p>
    <w:sectPr w:rsidR="00B3369F" w:rsidRPr="00C9161D" w:rsidSect="0009640F">
      <w:headerReference w:type="even" r:id="rId30"/>
      <w:headerReference w:type="default" r:id="rId31"/>
      <w:pgSz w:w="15840" w:h="12240" w:orient="landscape"/>
      <w:pgMar w:top="1440" w:right="567" w:bottom="14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C22" w:rsidRDefault="00487C22" w:rsidP="00CF1848">
      <w:r>
        <w:separator/>
      </w:r>
    </w:p>
  </w:endnote>
  <w:endnote w:type="continuationSeparator" w:id="0">
    <w:p w:rsidR="00487C22" w:rsidRDefault="00487C22" w:rsidP="00CF1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9AD" w:rsidRDefault="004A39AD" w:rsidP="00130003">
    <w:pPr>
      <w:pStyle w:val="Pieddepage"/>
      <w:tabs>
        <w:tab w:val="clear" w:pos="4320"/>
        <w:tab w:val="clear" w:pos="8640"/>
      </w:tabs>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C22" w:rsidRDefault="00487C22" w:rsidP="00CF1848">
      <w:r>
        <w:separator/>
      </w:r>
    </w:p>
  </w:footnote>
  <w:footnote w:type="continuationSeparator" w:id="0">
    <w:p w:rsidR="00487C22" w:rsidRDefault="00487C22" w:rsidP="00CF1848">
      <w:r>
        <w:continuationSeparator/>
      </w:r>
    </w:p>
  </w:footnote>
  <w:footnote w:id="1">
    <w:p w:rsidR="004A39AD" w:rsidRPr="005A379D" w:rsidRDefault="004A39AD" w:rsidP="004A39AD">
      <w:pPr>
        <w:pStyle w:val="Notedebasdepage"/>
        <w:kinsoku w:val="0"/>
        <w:overflowPunct w:val="0"/>
        <w:autoSpaceDE w:val="0"/>
        <w:autoSpaceDN w:val="0"/>
        <w:spacing w:after="0"/>
        <w:ind w:firstLine="0"/>
        <w:jc w:val="left"/>
        <w:rPr>
          <w:kern w:val="18"/>
          <w:szCs w:val="18"/>
          <w:lang w:val="ru-RU"/>
        </w:rPr>
      </w:pPr>
      <w:r>
        <w:rPr>
          <w:rStyle w:val="Appelnotedebasdep"/>
          <w:kern w:val="18"/>
          <w:szCs w:val="18"/>
        </w:rPr>
        <w:footnoteRef/>
      </w:r>
      <w:r w:rsidRPr="005A379D">
        <w:rPr>
          <w:kern w:val="18"/>
          <w:szCs w:val="18"/>
          <w:lang w:val="ru-RU"/>
        </w:rPr>
        <w:t xml:space="preserve"> См. пункт 36 решения </w:t>
      </w:r>
      <w:r>
        <w:rPr>
          <w:kern w:val="18"/>
          <w:szCs w:val="18"/>
        </w:rPr>
        <w:t>X</w:t>
      </w:r>
      <w:r w:rsidRPr="005A379D">
        <w:rPr>
          <w:kern w:val="18"/>
          <w:szCs w:val="18"/>
          <w:lang w:val="ru-RU"/>
        </w:rPr>
        <w:t xml:space="preserve">/29 и пункт 12 решения </w:t>
      </w:r>
      <w:r>
        <w:rPr>
          <w:kern w:val="18"/>
          <w:szCs w:val="18"/>
        </w:rPr>
        <w:t>XI</w:t>
      </w:r>
      <w:r w:rsidRPr="005A379D">
        <w:rPr>
          <w:kern w:val="18"/>
          <w:szCs w:val="18"/>
          <w:lang w:val="ru-RU"/>
        </w:rPr>
        <w:t>/17.</w:t>
      </w:r>
    </w:p>
  </w:footnote>
  <w:footnote w:id="2">
    <w:p w:rsidR="004A39AD" w:rsidRPr="005A379D" w:rsidRDefault="004A39AD" w:rsidP="004A39AD">
      <w:pPr>
        <w:pStyle w:val="Notedebasdepage"/>
        <w:suppressLineNumbers/>
        <w:suppressAutoHyphens/>
        <w:kinsoku w:val="0"/>
        <w:overflowPunct w:val="0"/>
        <w:autoSpaceDE w:val="0"/>
        <w:autoSpaceDN w:val="0"/>
        <w:ind w:firstLine="0"/>
        <w:jc w:val="left"/>
        <w:rPr>
          <w:snapToGrid w:val="0"/>
          <w:kern w:val="18"/>
          <w:szCs w:val="18"/>
          <w:lang w:val="ru-RU"/>
        </w:rPr>
      </w:pPr>
      <w:r w:rsidRPr="0064342E">
        <w:rPr>
          <w:rStyle w:val="Appelnotedebasdep"/>
          <w:rFonts w:eastAsiaTheme="majorEastAsia"/>
          <w:snapToGrid w:val="0"/>
          <w:kern w:val="18"/>
          <w:sz w:val="18"/>
          <w:szCs w:val="18"/>
        </w:rPr>
        <w:footnoteRef/>
      </w:r>
      <w:r w:rsidRPr="005A379D">
        <w:rPr>
          <w:snapToGrid w:val="0"/>
          <w:kern w:val="18"/>
          <w:szCs w:val="18"/>
          <w:lang w:val="ru-RU"/>
        </w:rPr>
        <w:t xml:space="preserve"> </w:t>
      </w:r>
      <w:proofErr w:type="gramStart"/>
      <w:r w:rsidRPr="0064342E">
        <w:rPr>
          <w:snapToGrid w:val="0"/>
          <w:kern w:val="18"/>
          <w:szCs w:val="18"/>
        </w:rPr>
        <w:t>CBD</w:t>
      </w:r>
      <w:r w:rsidRPr="005A379D">
        <w:rPr>
          <w:snapToGrid w:val="0"/>
          <w:kern w:val="18"/>
          <w:szCs w:val="18"/>
          <w:lang w:val="ru-RU"/>
        </w:rPr>
        <w:t>/</w:t>
      </w:r>
      <w:r w:rsidRPr="0064342E">
        <w:rPr>
          <w:snapToGrid w:val="0"/>
          <w:kern w:val="18"/>
          <w:szCs w:val="18"/>
        </w:rPr>
        <w:t>EBSA</w:t>
      </w:r>
      <w:r w:rsidRPr="005A379D">
        <w:rPr>
          <w:snapToGrid w:val="0"/>
          <w:kern w:val="18"/>
          <w:szCs w:val="18"/>
          <w:lang w:val="ru-RU"/>
        </w:rPr>
        <w:t>/</w:t>
      </w:r>
      <w:r w:rsidRPr="0064342E">
        <w:rPr>
          <w:snapToGrid w:val="0"/>
          <w:kern w:val="18"/>
          <w:szCs w:val="18"/>
        </w:rPr>
        <w:t>WS</w:t>
      </w:r>
      <w:r w:rsidRPr="005A379D">
        <w:rPr>
          <w:snapToGrid w:val="0"/>
          <w:kern w:val="18"/>
          <w:szCs w:val="18"/>
          <w:lang w:val="ru-RU"/>
        </w:rPr>
        <w:t>/2019/1/5.</w:t>
      </w:r>
      <w:proofErr w:type="gramEnd"/>
    </w:p>
  </w:footnote>
  <w:footnote w:id="3">
    <w:p w:rsidR="004A39AD" w:rsidRPr="005A379D" w:rsidRDefault="004A39AD" w:rsidP="004A39AD">
      <w:pPr>
        <w:pStyle w:val="Notedebasdepage"/>
        <w:spacing w:after="0"/>
        <w:ind w:firstLine="0"/>
        <w:jc w:val="left"/>
        <w:rPr>
          <w:lang w:val="ru-RU"/>
        </w:rPr>
      </w:pPr>
      <w:r>
        <w:rPr>
          <w:rStyle w:val="Appelnotedebasdep"/>
        </w:rPr>
        <w:footnoteRef/>
      </w:r>
      <w:r w:rsidRPr="005A379D">
        <w:rPr>
          <w:vertAlign w:val="superscript"/>
          <w:lang w:val="ru-RU"/>
        </w:rPr>
        <w:t xml:space="preserve"> </w:t>
      </w:r>
      <w:r w:rsidRPr="005A379D">
        <w:rPr>
          <w:lang w:val="ru-RU"/>
        </w:rPr>
        <w:t xml:space="preserve">Доклад о работе семинара представлен в документе </w:t>
      </w:r>
      <w:r>
        <w:t>CBD</w:t>
      </w:r>
      <w:r w:rsidRPr="005A379D">
        <w:rPr>
          <w:lang w:val="ru-RU"/>
        </w:rPr>
        <w:t>/</w:t>
      </w:r>
      <w:r>
        <w:t>EBSA</w:t>
      </w:r>
      <w:r w:rsidRPr="005A379D">
        <w:rPr>
          <w:lang w:val="ru-RU"/>
        </w:rPr>
        <w:t>/</w:t>
      </w:r>
      <w:r>
        <w:t>WS</w:t>
      </w:r>
      <w:r w:rsidRPr="005A379D">
        <w:rPr>
          <w:lang w:val="ru-RU"/>
        </w:rPr>
        <w:t>/2019/1/4.</w:t>
      </w:r>
    </w:p>
  </w:footnote>
  <w:footnote w:id="4">
    <w:p w:rsidR="004A39AD" w:rsidRPr="005A379D" w:rsidRDefault="004A39AD" w:rsidP="004A39AD">
      <w:pPr>
        <w:pStyle w:val="Notedebasdepage"/>
        <w:kinsoku w:val="0"/>
        <w:overflowPunct w:val="0"/>
        <w:autoSpaceDE w:val="0"/>
        <w:autoSpaceDN w:val="0"/>
        <w:spacing w:after="0"/>
        <w:ind w:firstLine="0"/>
        <w:jc w:val="left"/>
        <w:rPr>
          <w:snapToGrid w:val="0"/>
          <w:kern w:val="18"/>
          <w:szCs w:val="18"/>
          <w:lang w:val="ru-RU"/>
        </w:rPr>
      </w:pPr>
      <w:r>
        <w:rPr>
          <w:rStyle w:val="Appelnotedebasdep"/>
          <w:rFonts w:eastAsiaTheme="majorEastAsia"/>
          <w:snapToGrid w:val="0"/>
          <w:kern w:val="18"/>
          <w:szCs w:val="18"/>
        </w:rPr>
        <w:footnoteRef/>
      </w:r>
      <w:r w:rsidRPr="005A379D">
        <w:rPr>
          <w:snapToGrid w:val="0"/>
          <w:kern w:val="18"/>
          <w:szCs w:val="18"/>
          <w:lang w:val="ru-RU"/>
        </w:rPr>
        <w:t xml:space="preserve"> </w:t>
      </w:r>
      <w:hyperlink r:id="rId1" w:history="1">
        <w:r w:rsidRPr="005A379D">
          <w:rPr>
            <w:rStyle w:val="Lienhypertexte"/>
            <w:lang w:val="ru-RU"/>
          </w:rPr>
          <w:t>Серия договоров, том 1833, № 31363, Организация Объединенных Наций</w:t>
        </w:r>
      </w:hyperlink>
      <w:r w:rsidRPr="005A379D">
        <w:rPr>
          <w:lang w:val="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Subject"/>
      <w:tag w:val=""/>
      <w:id w:val="-1463409878"/>
      <w:dataBinding w:prefixMappings="xmlns:ns0='http://purl.org/dc/elements/1.1/' xmlns:ns1='http://schemas.openxmlformats.org/package/2006/metadata/core-properties' " w:xpath="/ns1:coreProperties[1]/ns0:subject[1]" w:storeItemID="{6C3C8BC8-F283-45AE-878A-BAB7291924A1}"/>
      <w:text/>
    </w:sdtPr>
    <w:sdtContent>
      <w:p w:rsidR="000C3770" w:rsidRPr="00442EED" w:rsidRDefault="00682FA0" w:rsidP="000C3770">
        <w:pPr>
          <w:pStyle w:val="Cornernotation"/>
          <w:ind w:right="-36"/>
          <w:rPr>
            <w:i/>
            <w:iCs/>
          </w:rPr>
        </w:pPr>
        <w:r>
          <w:rPr>
            <w:lang w:val="fr-FR"/>
          </w:rPr>
          <w:t>CBD/COP/DEC/15/25</w:t>
        </w:r>
      </w:p>
    </w:sdtContent>
  </w:sdt>
  <w:p w:rsidR="000C3770" w:rsidRPr="00DF1739" w:rsidRDefault="000C3770" w:rsidP="000C3770">
    <w:pPr>
      <w:pStyle w:val="En-tte"/>
      <w:spacing w:after="240"/>
      <w:rPr>
        <w:lang w:val="en-US"/>
      </w:rPr>
    </w:pPr>
    <w:r>
      <w:rPr>
        <w:lang w:val="ru-RU"/>
      </w:rPr>
      <w:t>Страница</w:t>
    </w:r>
    <w:r w:rsidRPr="00C35549">
      <w:rPr>
        <w:lang w:val="en-US"/>
      </w:rPr>
      <w:t xml:space="preserve"> </w:t>
    </w:r>
    <w:r w:rsidR="00AF78B3">
      <w:fldChar w:fldCharType="begin"/>
    </w:r>
    <w:r w:rsidRPr="00C35549">
      <w:rPr>
        <w:lang w:val="en-US"/>
      </w:rPr>
      <w:instrText xml:space="preserve"> PAGE   \* MERGEFORMAT </w:instrText>
    </w:r>
    <w:r w:rsidR="00AF78B3">
      <w:fldChar w:fldCharType="separate"/>
    </w:r>
    <w:r w:rsidR="008A5FD1" w:rsidRPr="008A5FD1">
      <w:rPr>
        <w:noProof/>
      </w:rPr>
      <w:t>2</w:t>
    </w:r>
    <w:r w:rsidR="00AF78B3">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Subject"/>
      <w:tag w:val=""/>
      <w:id w:val="-1644877083"/>
      <w:dataBinding w:prefixMappings="xmlns:ns0='http://purl.org/dc/elements/1.1/' xmlns:ns1='http://schemas.openxmlformats.org/package/2006/metadata/core-properties' " w:xpath="/ns1:coreProperties[1]/ns0:subject[1]" w:storeItemID="{6C3C8BC8-F283-45AE-878A-BAB7291924A1}"/>
      <w:text/>
    </w:sdtPr>
    <w:sdtContent>
      <w:p w:rsidR="00E4796E" w:rsidRPr="00442EED" w:rsidRDefault="00682FA0" w:rsidP="00E4796E">
        <w:pPr>
          <w:pStyle w:val="Cornernotation"/>
          <w:ind w:right="-36"/>
          <w:jc w:val="right"/>
          <w:rPr>
            <w:i/>
            <w:iCs/>
          </w:rPr>
        </w:pPr>
        <w:r>
          <w:rPr>
            <w:lang w:val="fr-FR"/>
          </w:rPr>
          <w:t>CBD/COP/DEC/15/25</w:t>
        </w:r>
      </w:p>
    </w:sdtContent>
  </w:sdt>
  <w:p w:rsidR="00E4796E" w:rsidRPr="00E4796E" w:rsidRDefault="00E4796E" w:rsidP="00E4796E">
    <w:pPr>
      <w:pStyle w:val="En-tte"/>
      <w:spacing w:after="240"/>
      <w:jc w:val="right"/>
      <w:rPr>
        <w:lang w:val="en-US"/>
      </w:rPr>
    </w:pPr>
    <w:r>
      <w:rPr>
        <w:lang w:val="ru-RU"/>
      </w:rPr>
      <w:t>Страница</w:t>
    </w:r>
    <w:r w:rsidRPr="00C35549">
      <w:rPr>
        <w:lang w:val="en-US"/>
      </w:rPr>
      <w:t xml:space="preserve"> </w:t>
    </w:r>
    <w:r w:rsidR="00AF78B3">
      <w:fldChar w:fldCharType="begin"/>
    </w:r>
    <w:r w:rsidRPr="00C35549">
      <w:rPr>
        <w:lang w:val="en-US"/>
      </w:rPr>
      <w:instrText xml:space="preserve"> PAGE   \* MERGEFORMAT </w:instrText>
    </w:r>
    <w:r w:rsidR="00AF78B3">
      <w:fldChar w:fldCharType="separate"/>
    </w:r>
    <w:r w:rsidR="008A5FD1" w:rsidRPr="008A5FD1">
      <w:rPr>
        <w:noProof/>
      </w:rPr>
      <w:t>3</w:t>
    </w:r>
    <w:r w:rsidR="00AF78B3">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lang w:val="en-US"/>
      </w:rPr>
      <w:alias w:val="Subject"/>
      <w:tag w:val=""/>
      <w:id w:val="1531996536"/>
      <w:dataBinding w:prefixMappings="xmlns:ns0='http://purl.org/dc/elements/1.1/' xmlns:ns1='http://schemas.openxmlformats.org/package/2006/metadata/core-properties' " w:xpath="/ns1:coreProperties[1]/ns0:subject[1]" w:storeItemID="{6C3C8BC8-F283-45AE-878A-BAB7291924A1}"/>
      <w:text/>
    </w:sdtPr>
    <w:sdtContent>
      <w:p w:rsidR="004A39AD" w:rsidRPr="006514DB" w:rsidRDefault="00682FA0" w:rsidP="00130003">
        <w:pPr>
          <w:jc w:val="left"/>
          <w:rPr>
            <w:noProof/>
            <w:kern w:val="22"/>
            <w:lang w:val="en-US"/>
          </w:rPr>
        </w:pPr>
        <w:r>
          <w:rPr>
            <w:noProof/>
            <w:kern w:val="22"/>
            <w:lang w:val="fr-FR"/>
          </w:rPr>
          <w:t>CBD/COP/DEC/15/25</w:t>
        </w:r>
      </w:p>
    </w:sdtContent>
  </w:sdt>
  <w:p w:rsidR="004A39AD" w:rsidRPr="006514DB" w:rsidRDefault="004A39AD" w:rsidP="00130003">
    <w:pPr>
      <w:pStyle w:val="En-tte"/>
      <w:tabs>
        <w:tab w:val="clear" w:pos="4320"/>
        <w:tab w:val="clear" w:pos="8640"/>
      </w:tabs>
      <w:jc w:val="left"/>
      <w:rPr>
        <w:noProof/>
        <w:kern w:val="22"/>
        <w:lang w:val="en-US"/>
      </w:rPr>
    </w:pPr>
    <w:r w:rsidRPr="006514DB">
      <w:rPr>
        <w:noProof/>
        <w:kern w:val="22"/>
        <w:lang w:val="en-US"/>
      </w:rPr>
      <w:t xml:space="preserve">Page </w:t>
    </w:r>
    <w:r w:rsidR="00AF78B3" w:rsidRPr="003839D2">
      <w:rPr>
        <w:noProof/>
        <w:kern w:val="22"/>
      </w:rPr>
      <w:fldChar w:fldCharType="begin"/>
    </w:r>
    <w:r w:rsidRPr="006514DB">
      <w:rPr>
        <w:noProof/>
        <w:kern w:val="22"/>
        <w:lang w:val="en-US"/>
      </w:rPr>
      <w:instrText xml:space="preserve"> PAGE   \* MERGEFORMAT </w:instrText>
    </w:r>
    <w:r w:rsidR="00AF78B3" w:rsidRPr="003839D2">
      <w:rPr>
        <w:noProof/>
        <w:kern w:val="22"/>
      </w:rPr>
      <w:fldChar w:fldCharType="separate"/>
    </w:r>
    <w:r w:rsidRPr="006514DB">
      <w:rPr>
        <w:noProof/>
        <w:kern w:val="22"/>
        <w:lang w:val="en-US"/>
      </w:rPr>
      <w:t>2</w:t>
    </w:r>
    <w:r w:rsidR="00AF78B3" w:rsidRPr="003839D2">
      <w:rPr>
        <w:noProof/>
        <w:kern w:val="22"/>
      </w:rPr>
      <w:fldChar w:fldCharType="end"/>
    </w:r>
  </w:p>
  <w:p w:rsidR="004A39AD" w:rsidRPr="006514DB" w:rsidRDefault="004A39AD" w:rsidP="00130003">
    <w:pPr>
      <w:pStyle w:val="En-tte"/>
      <w:tabs>
        <w:tab w:val="clear" w:pos="4320"/>
        <w:tab w:val="clear" w:pos="8640"/>
      </w:tabs>
      <w:jc w:val="left"/>
      <w:rPr>
        <w:noProof/>
        <w:kern w:val="22"/>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Subject"/>
      <w:tag w:val=""/>
      <w:id w:val="1594125222"/>
      <w:dataBinding w:prefixMappings="xmlns:ns0='http://purl.org/dc/elements/1.1/' xmlns:ns1='http://schemas.openxmlformats.org/package/2006/metadata/core-properties' " w:xpath="/ns1:coreProperties[1]/ns0:subject[1]" w:storeItemID="{6C3C8BC8-F283-45AE-878A-BAB7291924A1}"/>
      <w:text/>
    </w:sdtPr>
    <w:sdtContent>
      <w:p w:rsidR="00A373EB" w:rsidRPr="00442EED" w:rsidRDefault="00682FA0" w:rsidP="00A373EB">
        <w:pPr>
          <w:pStyle w:val="Cornernotation"/>
          <w:ind w:right="-36"/>
          <w:rPr>
            <w:i/>
            <w:iCs/>
          </w:rPr>
        </w:pPr>
        <w:r>
          <w:rPr>
            <w:lang w:val="fr-FR"/>
          </w:rPr>
          <w:t>CBD/COP/DEC/15/25</w:t>
        </w:r>
      </w:p>
    </w:sdtContent>
  </w:sdt>
  <w:p w:rsidR="000E579F" w:rsidRPr="00DF1739" w:rsidRDefault="004A7B27" w:rsidP="00DF1739">
    <w:pPr>
      <w:pStyle w:val="En-tte"/>
      <w:spacing w:after="240"/>
      <w:rPr>
        <w:lang w:val="en-US"/>
      </w:rPr>
    </w:pPr>
    <w:r>
      <w:rPr>
        <w:lang w:val="ru-RU"/>
      </w:rPr>
      <w:t>Страница</w:t>
    </w:r>
    <w:r w:rsidR="00A373EB" w:rsidRPr="00C35549">
      <w:rPr>
        <w:lang w:val="en-US"/>
      </w:rPr>
      <w:t xml:space="preserve"> </w:t>
    </w:r>
    <w:r w:rsidR="00AF78B3">
      <w:fldChar w:fldCharType="begin"/>
    </w:r>
    <w:r w:rsidR="00A373EB" w:rsidRPr="00C35549">
      <w:rPr>
        <w:lang w:val="en-US"/>
      </w:rPr>
      <w:instrText xml:space="preserve"> PAGE   \* MERGEFORMAT </w:instrText>
    </w:r>
    <w:r w:rsidR="00AF78B3">
      <w:fldChar w:fldCharType="separate"/>
    </w:r>
    <w:r w:rsidR="008A5FD1" w:rsidRPr="008A5FD1">
      <w:rPr>
        <w:noProof/>
      </w:rPr>
      <w:t>4</w:t>
    </w:r>
    <w:r w:rsidR="00AF78B3">
      <w:rPr>
        <w:noProof/>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n-US"/>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Content>
      <w:p w:rsidR="009505C9" w:rsidRPr="00A373EB" w:rsidRDefault="00682FA0" w:rsidP="009505C9">
        <w:pPr>
          <w:pStyle w:val="En-tte"/>
          <w:jc w:val="right"/>
          <w:rPr>
            <w:lang w:val="en-US"/>
          </w:rPr>
        </w:pPr>
        <w:r>
          <w:rPr>
            <w:lang w:val="fr-FR"/>
          </w:rPr>
          <w:t>CBD/COP/DEC/15/25</w:t>
        </w:r>
      </w:p>
    </w:sdtContent>
  </w:sdt>
  <w:p w:rsidR="009505C9" w:rsidRPr="00A373EB" w:rsidRDefault="004A7B27" w:rsidP="009505C9">
    <w:pPr>
      <w:pStyle w:val="En-tte"/>
      <w:jc w:val="right"/>
      <w:rPr>
        <w:lang w:val="en-US"/>
      </w:rPr>
    </w:pPr>
    <w:r>
      <w:rPr>
        <w:lang w:val="ru-RU"/>
      </w:rPr>
      <w:t>Страница</w:t>
    </w:r>
    <w:r w:rsidR="009505C9" w:rsidRPr="00A373EB">
      <w:rPr>
        <w:lang w:val="en-US"/>
      </w:rPr>
      <w:t xml:space="preserve"> </w:t>
    </w:r>
    <w:r w:rsidR="00AF78B3">
      <w:fldChar w:fldCharType="begin"/>
    </w:r>
    <w:r w:rsidR="009505C9" w:rsidRPr="00A373EB">
      <w:rPr>
        <w:lang w:val="en-US"/>
      </w:rPr>
      <w:instrText xml:space="preserve"> PAGE   \* MERGEFORMAT </w:instrText>
    </w:r>
    <w:r w:rsidR="00AF78B3">
      <w:fldChar w:fldCharType="separate"/>
    </w:r>
    <w:r w:rsidR="008A5FD1">
      <w:rPr>
        <w:noProof/>
        <w:lang w:val="en-US"/>
      </w:rPr>
      <w:t>11</w:t>
    </w:r>
    <w:r w:rsidR="00AF78B3">
      <w:rPr>
        <w:noProof/>
      </w:rPr>
      <w:fldChar w:fldCharType="end"/>
    </w:r>
  </w:p>
  <w:p w:rsidR="000E579F" w:rsidRDefault="000E579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C3F0C"/>
    <w:multiLevelType w:val="hybridMultilevel"/>
    <w:tmpl w:val="D50E3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A7A6258"/>
    <w:multiLevelType w:val="hybridMultilevel"/>
    <w:tmpl w:val="0E42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03171"/>
    <w:multiLevelType w:val="hybridMultilevel"/>
    <w:tmpl w:val="D9DA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2D3DE6"/>
    <w:multiLevelType w:val="hybridMultilevel"/>
    <w:tmpl w:val="9F7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1E7E50"/>
    <w:multiLevelType w:val="hybridMultilevel"/>
    <w:tmpl w:val="F2B47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3B74B2"/>
    <w:multiLevelType w:val="hybridMultilevel"/>
    <w:tmpl w:val="6BD4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37D05C78"/>
    <w:multiLevelType w:val="hybridMultilevel"/>
    <w:tmpl w:val="93083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451A3F7A"/>
    <w:multiLevelType w:val="hybridMultilevel"/>
    <w:tmpl w:val="8C4CC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pStyle w:val="Titre5"/>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A8B067C"/>
    <w:multiLevelType w:val="hybridMultilevel"/>
    <w:tmpl w:val="C666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08135A1"/>
    <w:multiLevelType w:val="hybridMultilevel"/>
    <w:tmpl w:val="7E5C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C44B7F"/>
    <w:multiLevelType w:val="hybridMultilevel"/>
    <w:tmpl w:val="29E4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6A53A5"/>
    <w:multiLevelType w:val="hybridMultilevel"/>
    <w:tmpl w:val="41D874EC"/>
    <w:lvl w:ilvl="0" w:tplc="04090001">
      <w:start w:val="1"/>
      <w:numFmt w:val="bullet"/>
      <w:pStyle w:val="Para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1D7E66"/>
    <w:multiLevelType w:val="hybridMultilevel"/>
    <w:tmpl w:val="B576179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60A848AA"/>
    <w:multiLevelType w:val="hybridMultilevel"/>
    <w:tmpl w:val="49F21688"/>
    <w:lvl w:ilvl="0" w:tplc="04090001">
      <w:start w:val="1"/>
      <w:numFmt w:val="bullet"/>
      <w:pStyle w:val="CBD-Doc"/>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3627FE1"/>
    <w:multiLevelType w:val="hybridMultilevel"/>
    <w:tmpl w:val="5018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BD2333"/>
    <w:multiLevelType w:val="hybridMultilevel"/>
    <w:tmpl w:val="181C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D82968"/>
    <w:multiLevelType w:val="hybridMultilevel"/>
    <w:tmpl w:val="FE162F2C"/>
    <w:lvl w:ilvl="0" w:tplc="2004B57A">
      <w:start w:val="1"/>
      <w:numFmt w:val="bullet"/>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73612D21"/>
    <w:multiLevelType w:val="hybridMultilevel"/>
    <w:tmpl w:val="2C4CC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pStyle w:val="Para3"/>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F93583"/>
    <w:multiLevelType w:val="hybridMultilevel"/>
    <w:tmpl w:val="439A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10"/>
  </w:num>
  <w:num w:numId="4">
    <w:abstractNumId w:val="18"/>
  </w:num>
  <w:num w:numId="5">
    <w:abstractNumId w:val="26"/>
  </w:num>
  <w:num w:numId="6">
    <w:abstractNumId w:val="12"/>
  </w:num>
  <w:num w:numId="7">
    <w:abstractNumId w:val="8"/>
  </w:num>
  <w:num w:numId="8">
    <w:abstractNumId w:val="2"/>
  </w:num>
  <w:num w:numId="9">
    <w:abstractNumId w:val="22"/>
  </w:num>
  <w:num w:numId="10">
    <w:abstractNumId w:val="24"/>
  </w:num>
  <w:num w:numId="11">
    <w:abstractNumId w:val="16"/>
  </w:num>
  <w:num w:numId="12">
    <w:abstractNumId w:val="4"/>
  </w:num>
  <w:num w:numId="13">
    <w:abstractNumId w:val="14"/>
  </w:num>
  <w:num w:numId="14">
    <w:abstractNumId w:val="17"/>
  </w:num>
  <w:num w:numId="15">
    <w:abstractNumId w:val="23"/>
  </w:num>
  <w:num w:numId="16">
    <w:abstractNumId w:val="6"/>
  </w:num>
  <w:num w:numId="17">
    <w:abstractNumId w:val="21"/>
  </w:num>
  <w:num w:numId="18">
    <w:abstractNumId w:val="5"/>
  </w:num>
  <w:num w:numId="19">
    <w:abstractNumId w:val="28"/>
  </w:num>
  <w:num w:numId="20">
    <w:abstractNumId w:val="15"/>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
  <w:rsids>
    <w:rsidRoot w:val="0054172D"/>
    <w:rsid w:val="00021DAD"/>
    <w:rsid w:val="00027167"/>
    <w:rsid w:val="00044C7B"/>
    <w:rsid w:val="00047D70"/>
    <w:rsid w:val="0007171B"/>
    <w:rsid w:val="0009640F"/>
    <w:rsid w:val="000B6E5C"/>
    <w:rsid w:val="000B6EEA"/>
    <w:rsid w:val="000C3770"/>
    <w:rsid w:val="000C7F25"/>
    <w:rsid w:val="000E579F"/>
    <w:rsid w:val="000E619B"/>
    <w:rsid w:val="000E673A"/>
    <w:rsid w:val="000F74F5"/>
    <w:rsid w:val="00105372"/>
    <w:rsid w:val="001210E3"/>
    <w:rsid w:val="001312AD"/>
    <w:rsid w:val="00131E7A"/>
    <w:rsid w:val="00134846"/>
    <w:rsid w:val="00134C2B"/>
    <w:rsid w:val="0014050F"/>
    <w:rsid w:val="00172AF6"/>
    <w:rsid w:val="00176CEE"/>
    <w:rsid w:val="00186DD8"/>
    <w:rsid w:val="001B13FE"/>
    <w:rsid w:val="001C2CBE"/>
    <w:rsid w:val="002109FB"/>
    <w:rsid w:val="00214612"/>
    <w:rsid w:val="00215539"/>
    <w:rsid w:val="002624A5"/>
    <w:rsid w:val="002E655B"/>
    <w:rsid w:val="0030169D"/>
    <w:rsid w:val="00302AAD"/>
    <w:rsid w:val="00305E66"/>
    <w:rsid w:val="003060EB"/>
    <w:rsid w:val="003153EB"/>
    <w:rsid w:val="00321985"/>
    <w:rsid w:val="0034759C"/>
    <w:rsid w:val="00351205"/>
    <w:rsid w:val="00365BA1"/>
    <w:rsid w:val="00372F74"/>
    <w:rsid w:val="003C02AC"/>
    <w:rsid w:val="003E5B0D"/>
    <w:rsid w:val="003F7224"/>
    <w:rsid w:val="00403388"/>
    <w:rsid w:val="00427D21"/>
    <w:rsid w:val="00430E63"/>
    <w:rsid w:val="00442EED"/>
    <w:rsid w:val="00443E56"/>
    <w:rsid w:val="004644C2"/>
    <w:rsid w:val="00467F9C"/>
    <w:rsid w:val="00487C22"/>
    <w:rsid w:val="004A39AD"/>
    <w:rsid w:val="004A7B27"/>
    <w:rsid w:val="004B3507"/>
    <w:rsid w:val="004E775D"/>
    <w:rsid w:val="005056F9"/>
    <w:rsid w:val="005208AC"/>
    <w:rsid w:val="00534681"/>
    <w:rsid w:val="0054172D"/>
    <w:rsid w:val="0054531B"/>
    <w:rsid w:val="00550775"/>
    <w:rsid w:val="00563442"/>
    <w:rsid w:val="00563CF5"/>
    <w:rsid w:val="00565B42"/>
    <w:rsid w:val="005C4CE6"/>
    <w:rsid w:val="006122BA"/>
    <w:rsid w:val="006470C0"/>
    <w:rsid w:val="006514DB"/>
    <w:rsid w:val="00670691"/>
    <w:rsid w:val="0067755E"/>
    <w:rsid w:val="00682FA0"/>
    <w:rsid w:val="00686E7F"/>
    <w:rsid w:val="00691E64"/>
    <w:rsid w:val="00697E73"/>
    <w:rsid w:val="006B2290"/>
    <w:rsid w:val="006E41EE"/>
    <w:rsid w:val="00706CF7"/>
    <w:rsid w:val="00717D88"/>
    <w:rsid w:val="007240B3"/>
    <w:rsid w:val="00786056"/>
    <w:rsid w:val="00791623"/>
    <w:rsid w:val="007919B3"/>
    <w:rsid w:val="007942D3"/>
    <w:rsid w:val="007B2099"/>
    <w:rsid w:val="007B6C09"/>
    <w:rsid w:val="007B7741"/>
    <w:rsid w:val="007C2383"/>
    <w:rsid w:val="007E09DA"/>
    <w:rsid w:val="007E212A"/>
    <w:rsid w:val="008178B6"/>
    <w:rsid w:val="0082191A"/>
    <w:rsid w:val="00835E8A"/>
    <w:rsid w:val="0085690A"/>
    <w:rsid w:val="00865B74"/>
    <w:rsid w:val="00874548"/>
    <w:rsid w:val="008974F0"/>
    <w:rsid w:val="008A3ADB"/>
    <w:rsid w:val="008A5FD1"/>
    <w:rsid w:val="008B012A"/>
    <w:rsid w:val="00906E17"/>
    <w:rsid w:val="00930BA1"/>
    <w:rsid w:val="0093169E"/>
    <w:rsid w:val="009505C9"/>
    <w:rsid w:val="00950752"/>
    <w:rsid w:val="00966424"/>
    <w:rsid w:val="009C2DE6"/>
    <w:rsid w:val="009D3278"/>
    <w:rsid w:val="009F0FBA"/>
    <w:rsid w:val="00A373EB"/>
    <w:rsid w:val="00AA5CA2"/>
    <w:rsid w:val="00AA6F92"/>
    <w:rsid w:val="00AB023C"/>
    <w:rsid w:val="00AB6934"/>
    <w:rsid w:val="00AF42DE"/>
    <w:rsid w:val="00AF78B3"/>
    <w:rsid w:val="00B24C9F"/>
    <w:rsid w:val="00B3369F"/>
    <w:rsid w:val="00B94E6C"/>
    <w:rsid w:val="00BB4606"/>
    <w:rsid w:val="00BD76B5"/>
    <w:rsid w:val="00C22439"/>
    <w:rsid w:val="00C23D2F"/>
    <w:rsid w:val="00C443BD"/>
    <w:rsid w:val="00C451C5"/>
    <w:rsid w:val="00C55773"/>
    <w:rsid w:val="00C9161D"/>
    <w:rsid w:val="00CA0C1D"/>
    <w:rsid w:val="00CC4CA2"/>
    <w:rsid w:val="00CE7E8D"/>
    <w:rsid w:val="00CF1848"/>
    <w:rsid w:val="00D0642B"/>
    <w:rsid w:val="00D12044"/>
    <w:rsid w:val="00D1719E"/>
    <w:rsid w:val="00D33EFC"/>
    <w:rsid w:val="00D40DBC"/>
    <w:rsid w:val="00D410F2"/>
    <w:rsid w:val="00D42703"/>
    <w:rsid w:val="00D76A18"/>
    <w:rsid w:val="00D80849"/>
    <w:rsid w:val="00D82E8F"/>
    <w:rsid w:val="00DB0A74"/>
    <w:rsid w:val="00DD118C"/>
    <w:rsid w:val="00DD2520"/>
    <w:rsid w:val="00DD355E"/>
    <w:rsid w:val="00DF1739"/>
    <w:rsid w:val="00E4796E"/>
    <w:rsid w:val="00E66235"/>
    <w:rsid w:val="00E83C24"/>
    <w:rsid w:val="00E9318D"/>
    <w:rsid w:val="00EE32E3"/>
    <w:rsid w:val="00EE49DF"/>
    <w:rsid w:val="00EF5DAC"/>
    <w:rsid w:val="00F00B28"/>
    <w:rsid w:val="00F53193"/>
    <w:rsid w:val="00F5357E"/>
    <w:rsid w:val="00F6586C"/>
    <w:rsid w:val="00F94774"/>
    <w:rsid w:val="00F9477D"/>
    <w:rsid w:val="00F9795B"/>
    <w:rsid w:val="00FA663B"/>
    <w:rsid w:val="00FC53DB"/>
  </w:rsids>
  <m:mathPr>
    <m:mathFont m:val="Cambria Math"/>
    <m:brkBin m:val="before"/>
    <m:brkBinSub m:val="--"/>
    <m:smallFrac m:val="off"/>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rsid w:val="00105372"/>
    <w:rPr>
      <w:color w:val="808080"/>
    </w:rPr>
  </w:style>
  <w:style w:type="paragraph" w:styleId="En-tte">
    <w:name w:val="header"/>
    <w:basedOn w:val="Normal"/>
    <w:link w:val="En-tteCar"/>
    <w:uiPriority w:val="99"/>
    <w:rsid w:val="007E09DA"/>
    <w:pPr>
      <w:tabs>
        <w:tab w:val="center" w:pos="4320"/>
        <w:tab w:val="right" w:pos="8640"/>
      </w:tabs>
    </w:pPr>
  </w:style>
  <w:style w:type="character" w:customStyle="1" w:styleId="En-tteCar">
    <w:name w:val="En-tête Car"/>
    <w:basedOn w:val="Policepardfaut"/>
    <w:link w:val="En-tte"/>
    <w:uiPriority w:val="99"/>
    <w:rsid w:val="00CF1848"/>
    <w:rPr>
      <w:rFonts w:ascii="Times New Roman" w:eastAsia="Times New Roman" w:hAnsi="Times New Roman" w:cs="Times New Roman"/>
      <w:sz w:val="22"/>
      <w:lang w:val="en-GB"/>
    </w:rPr>
  </w:style>
  <w:style w:type="paragraph" w:styleId="Pieddepage">
    <w:name w:val="footer"/>
    <w:basedOn w:val="Normal"/>
    <w:link w:val="PieddepageCar"/>
    <w:uiPriority w:val="99"/>
    <w:rsid w:val="007E09DA"/>
    <w:pPr>
      <w:tabs>
        <w:tab w:val="center" w:pos="4320"/>
        <w:tab w:val="right" w:pos="8640"/>
      </w:tabs>
      <w:ind w:firstLine="720"/>
      <w:jc w:val="right"/>
    </w:pPr>
  </w:style>
  <w:style w:type="character" w:customStyle="1" w:styleId="PieddepageCar">
    <w:name w:val="Pied de page Car"/>
    <w:basedOn w:val="Policepardfaut"/>
    <w:link w:val="Pieddepage"/>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6514DB"/>
    <w:pPr>
      <w:spacing w:after="160" w:line="240" w:lineRule="exact"/>
    </w:pPr>
    <w:rPr>
      <w:rFonts w:asciiTheme="minorHAnsi" w:eastAsiaTheme="minorEastAsia" w:hAnsiTheme="minorHAnsi" w:cstheme="minorBidi"/>
      <w:vertAlign w:val="superscript"/>
      <w:lang w:val="fr-CA"/>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uiPriority w:val="34"/>
    <w:qFormat/>
    <w:locked/>
    <w:rsid w:val="006514DB"/>
    <w:rPr>
      <w:rFonts w:ascii="Times New Roman" w:eastAsia="Times New Roman" w:hAnsi="Times New Roman" w:cs="Times New Roman"/>
      <w:sz w:val="22"/>
      <w:lang w:val="en-GB"/>
    </w:rPr>
  </w:style>
  <w:style w:type="character" w:styleId="Accentuation">
    <w:name w:val="Emphasis"/>
    <w:uiPriority w:val="20"/>
    <w:qFormat/>
    <w:rsid w:val="006514DB"/>
    <w:rPr>
      <w:i/>
      <w:iCs/>
    </w:rPr>
  </w:style>
  <w:style w:type="paragraph" w:styleId="Listepuces">
    <w:name w:val="List Bullet"/>
    <w:basedOn w:val="Normal"/>
    <w:uiPriority w:val="99"/>
    <w:semiHidden/>
    <w:unhideWhenUsed/>
    <w:rsid w:val="006514DB"/>
    <w:pPr>
      <w:tabs>
        <w:tab w:val="num" w:pos="360"/>
      </w:tabs>
      <w:contextualSpacing/>
    </w:pPr>
  </w:style>
  <w:style w:type="character" w:customStyle="1" w:styleId="xbe">
    <w:name w:val="_xbe"/>
    <w:rsid w:val="006514DB"/>
  </w:style>
  <w:style w:type="character" w:customStyle="1" w:styleId="apple-converted-space">
    <w:name w:val="apple-converted-space"/>
    <w:basedOn w:val="Policepardfaut"/>
    <w:rsid w:val="00EE49DF"/>
  </w:style>
  <w:style w:type="paragraph" w:styleId="Rvision">
    <w:name w:val="Revision"/>
    <w:hidden/>
    <w:uiPriority w:val="99"/>
    <w:semiHidden/>
    <w:rsid w:val="00DD2520"/>
    <w:rPr>
      <w:rFonts w:ascii="Times New Roman" w:eastAsia="Times New Roman" w:hAnsi="Times New Roman" w:cs="Times New Roman"/>
      <w:sz w:val="22"/>
      <w:lang w:val="en-GB"/>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cbd.int/doc/decisions/cop-13/cop-13-dec-12-ru.pdf" TargetMode="External"/><Relationship Id="rId26" Type="http://schemas.openxmlformats.org/officeDocument/2006/relationships/hyperlink" Target="https://www.cbd.int/doc/decisions/cop-14/cop-14-dec-09-ru.pdf"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decisions/cop-12/cop-12-dec-22-ru.pdf" TargetMode="External"/><Relationship Id="rId25" Type="http://schemas.openxmlformats.org/officeDocument/2006/relationships/hyperlink" Target="https://www.cbd.int/doc/decisions/cop-13/cop-13-dec-12-ru.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bd.int/doc/decisions/cop-11/cop-11-dec-17-ru.pdf" TargetMode="External"/><Relationship Id="rId20" Type="http://schemas.openxmlformats.org/officeDocument/2006/relationships/header" Target="header1.xml"/><Relationship Id="rId29" Type="http://schemas.openxmlformats.org/officeDocument/2006/relationships/hyperlink" Target="https://www.cbd.int/doc/c/aa9a/bde9/eaf24f73bd471d64e8094722/ebsa-ws-2018-01-04-e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bd.int/doc/decisions/cop-12/cop-12-dec-22-ru.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bd.int/doc/decisions/cop-10/cop-10-dec-29-ru.pdf" TargetMode="External"/><Relationship Id="rId23" Type="http://schemas.openxmlformats.org/officeDocument/2006/relationships/hyperlink" Target="https://www.cbd.int/doc/decisions/cop-11/cop-11-dec-17-ru.pdf"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cbd.int/doc/decisions/cop-14/cop-14-dec-09-ru.pdf"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cbd.int/doc/decisions/cop-10/cop-10-dec-29-ru.pdf" TargetMode="External"/><Relationship Id="rId27" Type="http://schemas.openxmlformats.org/officeDocument/2006/relationships/header" Target="header3.xml"/><Relationship Id="rId30"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epts/los/convention_agreements/texts/unclos/unclos_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89AF8573EDD448195CCBC65351B014C"/>
        <w:category>
          <w:name w:val="General"/>
          <w:gallery w:val="placeholder"/>
        </w:category>
        <w:types>
          <w:type w:val="bbPlcHdr"/>
        </w:types>
        <w:behaviors>
          <w:behavior w:val="content"/>
        </w:behaviors>
        <w:guid w:val="{55F82130-3818-464D-A774-4B90BA3DD444}"/>
      </w:docPartPr>
      <w:docPartBody>
        <w:p w:rsidR="00683128" w:rsidRDefault="005C69AF" w:rsidP="005C69AF">
          <w:pPr>
            <w:pStyle w:val="389AF8573EDD448195CCBC65351B014C"/>
          </w:pPr>
          <w:r w:rsidRPr="007E02EB">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AB72FA"/>
    <w:rsid w:val="00277146"/>
    <w:rsid w:val="002D0069"/>
    <w:rsid w:val="00490D60"/>
    <w:rsid w:val="004C6765"/>
    <w:rsid w:val="005C69AF"/>
    <w:rsid w:val="00683128"/>
    <w:rsid w:val="0071069B"/>
    <w:rsid w:val="007C3CA8"/>
    <w:rsid w:val="007C7D84"/>
    <w:rsid w:val="00800648"/>
    <w:rsid w:val="00854BF9"/>
    <w:rsid w:val="008A17A4"/>
    <w:rsid w:val="009A09AB"/>
    <w:rsid w:val="00A0625E"/>
    <w:rsid w:val="00A72529"/>
    <w:rsid w:val="00AB26DE"/>
    <w:rsid w:val="00AB72FA"/>
    <w:rsid w:val="00B415CD"/>
    <w:rsid w:val="00BE0912"/>
    <w:rsid w:val="00C913F8"/>
    <w:rsid w:val="00D35507"/>
    <w:rsid w:val="00D36602"/>
    <w:rsid w:val="00EE3E3F"/>
    <w:rsid w:val="00F12983"/>
    <w:rsid w:val="00FC56A0"/>
  </w:rsids>
  <m:mathPr>
    <m:mathFont m:val="Cambria Math"/>
    <m:brkBin m:val="before"/>
    <m:brkBinSub m:val="--"/>
    <m:smallFrac m:val="off"/>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E3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BE0912"/>
    <w:rPr>
      <w:color w:val="808080"/>
    </w:rPr>
  </w:style>
  <w:style w:type="paragraph" w:customStyle="1" w:styleId="7E0485547563415784F9B28103CD7463">
    <w:name w:val="7E0485547563415784F9B28103CD7463"/>
    <w:rsid w:val="00EE3E3F"/>
  </w:style>
  <w:style w:type="paragraph" w:customStyle="1" w:styleId="389AF8573EDD448195CCBC65351B014C">
    <w:name w:val="389AF8573EDD448195CCBC65351B014C"/>
    <w:rsid w:val="005C69AF"/>
  </w:style>
  <w:style w:type="paragraph" w:customStyle="1" w:styleId="BC85F2338F8E461BA99CD2EB1EBAD819">
    <w:name w:val="BC85F2338F8E461BA99CD2EB1EBAD819"/>
    <w:rsid w:val="00BE091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923DF0-88D3-4212-9DD7-B25BCAF04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C478D5B2-68E7-47B1-9955-E44D6224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2020-template-cbd2.dotx</Template>
  <TotalTime>12</TotalTime>
  <Pages>11</Pages>
  <Words>4867</Words>
  <Characters>23512</Characters>
  <Application>Microsoft Office Word</Application>
  <DocSecurity>0</DocSecurity>
  <Lines>1237</Lines>
  <Paragraphs>489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ЭКОЛОГИЧЕСКИ ИЛИ БИОЛОГИЧЕСКИ ЗНАЧИМЫЕ МОРСКИЕ РАЙОНЫ В СЕВЕРО-ВОСТОЧНОЙ ЧАСТИ АТЛАНТИЧЕСКОГО ОКЕАНА И ПРИЛЕГАЮЩИЕ ТЕРРИТОРИИ</vt:lpstr>
      <vt:lpstr>Ecologically or biologically significant marine areas in the North-East Atlantic Ocean and adjacent areas</vt:lpstr>
    </vt:vector>
  </TitlesOfParts>
  <Company>SCBD</Company>
  <LinksUpToDate>false</LinksUpToDate>
  <CharactersWithSpaces>27890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ЭКОЛОГИЧЕСКИ ИЛИ БИОЛОГИЧЕСКИ ЗНАЧИМЫЕ МОРСКИЕ РАЙОНЫ В СЕВЕРО-ВОСТОЧНОЙ ЧАСТИ АТЛАНТИЧЕСКОГО ОКЕАНА И ПРИЛЕГАЮЩИЕ ТЕРРИТОРИИ</dc:title>
  <dc:subject>CBD/COP/DEC/15/25</dc:subject>
  <dc:creator>Veronique Lefebvre</dc:creator>
  <cp:keywords>Conference of the Parties to the Convention on Biological Diversity, fifteenth meeting</cp:keywords>
  <cp:lastModifiedBy>Bureau</cp:lastModifiedBy>
  <cp:revision>4</cp:revision>
  <cp:lastPrinted>2020-01-21T16:56:00Z</cp:lastPrinted>
  <dcterms:created xsi:type="dcterms:W3CDTF">2023-03-17T16:34:00Z</dcterms:created>
  <dcterms:modified xsi:type="dcterms:W3CDTF">2023-03-18T18:55:00Z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