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2FA5CB09" w14:textId="77777777" w:rsidTr="00E60D5F">
        <w:tc>
          <w:tcPr>
            <w:tcW w:w="1371" w:type="dxa"/>
            <w:tcBorders>
              <w:bottom w:val="single" w:sz="12" w:space="0" w:color="000000"/>
            </w:tcBorders>
          </w:tcPr>
          <w:p w14:paraId="684D34B3"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0CA4408B" wp14:editId="144CD2C4">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74EB950F" w14:textId="77777777" w:rsidR="006E0D71" w:rsidRPr="00711439" w:rsidRDefault="006E0D71" w:rsidP="00E60D5F">
            <w:pPr>
              <w:topLinePunct/>
              <w:rPr>
                <w:lang w:eastAsia="zh-CN"/>
              </w:rPr>
            </w:pPr>
            <w:r w:rsidRPr="00711439">
              <w:rPr>
                <w:noProof/>
                <w:lang w:eastAsia="zh-CN"/>
              </w:rPr>
              <w:drawing>
                <wp:inline distT="0" distB="0" distL="0" distR="0" wp14:anchorId="623E5A81" wp14:editId="0D22F4A3">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0CC25F15"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17C65B35" w14:textId="77777777" w:rsidR="006E0D71" w:rsidRPr="00711439" w:rsidRDefault="006E0D71" w:rsidP="00E60D5F">
            <w:pPr>
              <w:topLinePunct/>
              <w:rPr>
                <w:rFonts w:ascii="Univers" w:hAnsi="Univers"/>
                <w:b/>
                <w:sz w:val="36"/>
                <w:szCs w:val="36"/>
                <w:lang w:eastAsia="zh-CN"/>
              </w:rPr>
            </w:pPr>
          </w:p>
        </w:tc>
      </w:tr>
      <w:tr w:rsidR="006E0D71" w:rsidRPr="00711439" w14:paraId="7092611D" w14:textId="77777777" w:rsidTr="00E60D5F">
        <w:trPr>
          <w:trHeight w:val="1693"/>
        </w:trPr>
        <w:tc>
          <w:tcPr>
            <w:tcW w:w="5242" w:type="dxa"/>
            <w:gridSpan w:val="3"/>
          </w:tcPr>
          <w:p w14:paraId="066AD664" w14:textId="77777777" w:rsidR="006E0D71" w:rsidRPr="00711439" w:rsidRDefault="006E0D71" w:rsidP="00E60D5F">
            <w:pPr>
              <w:topLinePunct/>
              <w:rPr>
                <w:sz w:val="16"/>
                <w:szCs w:val="16"/>
                <w:lang w:eastAsia="zh-CN"/>
              </w:rPr>
            </w:pPr>
          </w:p>
          <w:p w14:paraId="4BAF5DB2" w14:textId="77777777"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110FC8AA" wp14:editId="2591E51F">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21AA4551" w14:textId="77777777" w:rsidR="006E0D71" w:rsidRPr="00711439" w:rsidRDefault="006E0D71" w:rsidP="00E60D5F">
            <w:pPr>
              <w:topLinePunct/>
              <w:rPr>
                <w:b/>
                <w:sz w:val="16"/>
                <w:szCs w:val="16"/>
                <w:lang w:eastAsia="zh-CN"/>
              </w:rPr>
            </w:pPr>
          </w:p>
        </w:tc>
        <w:tc>
          <w:tcPr>
            <w:tcW w:w="1980" w:type="dxa"/>
          </w:tcPr>
          <w:p w14:paraId="1C31EB20" w14:textId="77777777" w:rsidR="006E0D71" w:rsidRPr="00711439" w:rsidRDefault="006E0D71" w:rsidP="00E60D5F">
            <w:pPr>
              <w:topLinePunct/>
              <w:rPr>
                <w:lang w:eastAsia="zh-CN"/>
              </w:rPr>
            </w:pPr>
          </w:p>
        </w:tc>
        <w:tc>
          <w:tcPr>
            <w:tcW w:w="2610" w:type="dxa"/>
          </w:tcPr>
          <w:p w14:paraId="64539B4B" w14:textId="77777777" w:rsidR="00B854A5" w:rsidRPr="00AB32FC" w:rsidRDefault="00B854A5" w:rsidP="00B854A5">
            <w:pPr>
              <w:topLinePunct/>
              <w:spacing w:before="120"/>
              <w:rPr>
                <w:rFonts w:eastAsia="Times New Roman"/>
              </w:rPr>
            </w:pPr>
            <w:r w:rsidRPr="00AB32FC">
              <w:rPr>
                <w:rFonts w:eastAsia="Times New Roman"/>
              </w:rPr>
              <w:t xml:space="preserve">Distr. </w:t>
            </w:r>
          </w:p>
          <w:p w14:paraId="7679742B" w14:textId="77777777" w:rsidR="00B854A5" w:rsidRPr="00AB32FC" w:rsidRDefault="00B854A5" w:rsidP="00B854A5">
            <w:pPr>
              <w:topLinePunct/>
              <w:rPr>
                <w:rFonts w:eastAsia="Times New Roman"/>
              </w:rPr>
            </w:pPr>
            <w:r w:rsidRPr="00AB32FC">
              <w:rPr>
                <w:rFonts w:eastAsia="Times New Roman"/>
              </w:rPr>
              <w:t>GENERAL</w:t>
            </w:r>
          </w:p>
          <w:p w14:paraId="2C6A935A" w14:textId="77777777" w:rsidR="00B854A5" w:rsidRPr="00AB32FC" w:rsidRDefault="00B854A5" w:rsidP="00B854A5">
            <w:pPr>
              <w:topLinePunct/>
              <w:rPr>
                <w:rFonts w:eastAsia="Times New Roman"/>
                <w:sz w:val="20"/>
              </w:rPr>
            </w:pPr>
          </w:p>
          <w:p w14:paraId="0FA3B5BF" w14:textId="608ECA8F" w:rsidR="00B854A5" w:rsidRPr="00AB32FC" w:rsidRDefault="00B854A5" w:rsidP="00B854A5">
            <w:pPr>
              <w:topLinePunct/>
              <w:rPr>
                <w:rFonts w:eastAsia="Times New Roman"/>
              </w:rPr>
            </w:pPr>
            <w:r>
              <w:rPr>
                <w:rFonts w:eastAsia="Times New Roman"/>
              </w:rPr>
              <w:t>CBD/COP/DEC/14/36</w:t>
            </w:r>
          </w:p>
          <w:p w14:paraId="16800FE5" w14:textId="77777777" w:rsidR="00B854A5" w:rsidRPr="00AB32FC" w:rsidRDefault="00B854A5" w:rsidP="00B854A5">
            <w:pPr>
              <w:topLinePunct/>
              <w:rPr>
                <w:rFonts w:eastAsia="Times New Roman"/>
              </w:rPr>
            </w:pPr>
            <w:r w:rsidRPr="00AB32FC">
              <w:rPr>
                <w:rFonts w:eastAsia="Times New Roman"/>
              </w:rPr>
              <w:t>30 November 2018</w:t>
            </w:r>
          </w:p>
          <w:p w14:paraId="49EE7DD0" w14:textId="77777777" w:rsidR="00B854A5" w:rsidRPr="00AB32FC" w:rsidRDefault="00B854A5" w:rsidP="00B854A5">
            <w:pPr>
              <w:topLinePunct/>
              <w:rPr>
                <w:rFonts w:eastAsia="Times New Roman"/>
                <w:sz w:val="20"/>
              </w:rPr>
            </w:pPr>
          </w:p>
          <w:p w14:paraId="5D5D6230" w14:textId="77777777" w:rsidR="00B854A5" w:rsidRPr="00AB32FC" w:rsidRDefault="00B854A5" w:rsidP="00B854A5">
            <w:pPr>
              <w:topLinePunct/>
              <w:rPr>
                <w:rFonts w:eastAsia="Times New Roman"/>
              </w:rPr>
            </w:pPr>
            <w:r w:rsidRPr="00AB32FC">
              <w:rPr>
                <w:rFonts w:eastAsia="Times New Roman"/>
              </w:rPr>
              <w:t>CHINESE</w:t>
            </w:r>
          </w:p>
          <w:p w14:paraId="634887E6" w14:textId="628CAC2B" w:rsidR="006E0D71" w:rsidRPr="00711439" w:rsidRDefault="00B854A5" w:rsidP="00B854A5">
            <w:pPr>
              <w:spacing w:after="120"/>
              <w:rPr>
                <w:rFonts w:ascii="Courier New" w:hAnsi="Courier New"/>
                <w:szCs w:val="22"/>
                <w:lang w:eastAsia="zh-CN"/>
              </w:rPr>
            </w:pPr>
            <w:r w:rsidRPr="00AB32FC">
              <w:rPr>
                <w:rFonts w:eastAsia="Times New Roman"/>
              </w:rPr>
              <w:t>ORIGINAL: ENGLISH</w:t>
            </w:r>
          </w:p>
        </w:tc>
      </w:tr>
    </w:tbl>
    <w:p w14:paraId="3AA47837"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52A4B85C"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14:paraId="14418E39" w14:textId="77777777"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31F9CA4B" w14:textId="52B68601"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sidR="000F4977">
        <w:rPr>
          <w:rFonts w:hint="eastAsia"/>
          <w:kern w:val="22"/>
          <w:sz w:val="24"/>
          <w:lang w:eastAsia="zh-CN"/>
        </w:rPr>
        <w:t>1</w:t>
      </w:r>
      <w:r w:rsidR="000F4977">
        <w:rPr>
          <w:kern w:val="22"/>
          <w:sz w:val="24"/>
          <w:lang w:eastAsia="zh-CN"/>
        </w:rPr>
        <w:t>6</w:t>
      </w:r>
      <w:r>
        <w:rPr>
          <w:kern w:val="22"/>
          <w:sz w:val="24"/>
          <w:lang w:eastAsia="zh-CN"/>
        </w:rPr>
        <w:t xml:space="preserve"> </w:t>
      </w:r>
    </w:p>
    <w:p w14:paraId="3F30EA64" w14:textId="77777777" w:rsidR="00B854A5" w:rsidRPr="00536A5A" w:rsidRDefault="00B854A5" w:rsidP="00B854A5">
      <w:pPr>
        <w:pStyle w:val="Heading1"/>
        <w:spacing w:after="120"/>
        <w:rPr>
          <w:rFonts w:ascii="SimHei" w:eastAsia="SimHei" w:hAnsi="SimHei" w:cs="Times New Roman"/>
          <w:noProof/>
          <w:kern w:val="22"/>
          <w:sz w:val="28"/>
          <w:lang w:eastAsia="zh-CN"/>
        </w:rPr>
      </w:pPr>
      <w:bookmarkStart w:id="0" w:name="_Toc524194609"/>
      <w:bookmarkStart w:id="1" w:name="_Toc524194582"/>
      <w:bookmarkStart w:id="2" w:name="_Toc524194586"/>
      <w:bookmarkStart w:id="3" w:name="_Toc524194587"/>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2340D59A" w14:textId="0D765113" w:rsidR="000F4977" w:rsidRPr="00B854A5" w:rsidRDefault="00B854A5" w:rsidP="00B854A5">
      <w:pPr>
        <w:pStyle w:val="Heading1"/>
        <w:spacing w:before="120" w:after="120"/>
        <w:rPr>
          <w:rFonts w:cs="Times New Roman"/>
          <w:noProof/>
          <w:kern w:val="22"/>
          <w:sz w:val="24"/>
          <w:lang w:eastAsia="zh-CN"/>
        </w:rPr>
      </w:pPr>
      <w:r>
        <w:rPr>
          <w:rFonts w:cs="Times New Roman"/>
          <w:noProof/>
          <w:kern w:val="22"/>
          <w:sz w:val="24"/>
          <w:lang w:eastAsia="zh-CN"/>
        </w:rPr>
        <w:t>14/</w:t>
      </w:r>
      <w:r w:rsidR="00572C3B">
        <w:rPr>
          <w:rFonts w:cs="Times New Roman"/>
          <w:noProof/>
          <w:kern w:val="22"/>
          <w:sz w:val="24"/>
          <w:lang w:eastAsia="zh-CN"/>
        </w:rPr>
        <w:t>36</w:t>
      </w:r>
      <w:r w:rsidRPr="005A73FA">
        <w:rPr>
          <w:rFonts w:cs="Times New Roman"/>
          <w:noProof/>
          <w:kern w:val="22"/>
          <w:sz w:val="24"/>
          <w:lang w:eastAsia="zh-CN"/>
        </w:rPr>
        <w:t>.</w:t>
      </w:r>
      <w:r w:rsidRPr="005A73FA">
        <w:rPr>
          <w:rFonts w:cs="Times New Roman"/>
          <w:noProof/>
          <w:kern w:val="22"/>
          <w:sz w:val="24"/>
          <w:lang w:eastAsia="zh-CN"/>
        </w:rPr>
        <w:tab/>
      </w:r>
      <w:bookmarkEnd w:id="0"/>
      <w:r>
        <w:rPr>
          <w:rFonts w:cs="Times New Roman"/>
          <w:noProof/>
          <w:kern w:val="22"/>
          <w:sz w:val="24"/>
          <w:lang w:eastAsia="zh-CN"/>
        </w:rPr>
        <w:t xml:space="preserve"> </w:t>
      </w:r>
      <w:bookmarkEnd w:id="1"/>
      <w:bookmarkEnd w:id="2"/>
      <w:bookmarkEnd w:id="3"/>
      <w:r w:rsidR="000F4977" w:rsidRPr="00B854A5">
        <w:rPr>
          <w:rFonts w:cs="Times New Roman" w:hint="eastAsia"/>
          <w:noProof/>
          <w:kern w:val="22"/>
          <w:sz w:val="24"/>
          <w:lang w:eastAsia="zh-CN"/>
        </w:rPr>
        <w:t>生物多样性和生态系统服务政府间科学政策平台的第二个工作方案</w:t>
      </w:r>
      <w:r w:rsidR="00EB0BF3">
        <w:rPr>
          <w:rFonts w:cs="Times New Roman" w:hint="eastAsia"/>
          <w:noProof/>
          <w:kern w:val="22"/>
          <w:sz w:val="24"/>
          <w:lang w:eastAsia="zh-CN"/>
        </w:rPr>
        <w:t xml:space="preserve"> </w:t>
      </w:r>
      <w:bookmarkStart w:id="4" w:name="_GoBack"/>
      <w:bookmarkEnd w:id="4"/>
    </w:p>
    <w:p w14:paraId="3E04FAF1" w14:textId="77777777" w:rsidR="000F4977" w:rsidRPr="00BD5DD6" w:rsidRDefault="000F4977" w:rsidP="00B854A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KaiTi" w:eastAsia="KaiTi" w:hAnsi="KaiTi"/>
          <w:iCs/>
          <w:kern w:val="22"/>
          <w:sz w:val="24"/>
          <w:szCs w:val="24"/>
          <w:lang w:eastAsia="zh-CN" w:bidi="th-TH"/>
        </w:rPr>
      </w:pPr>
      <w:bookmarkStart w:id="5" w:name="_Ref314474052"/>
      <w:r w:rsidRPr="00BD5DD6">
        <w:rPr>
          <w:rFonts w:ascii="KaiTi" w:eastAsia="KaiTi" w:hAnsi="KaiTi" w:cs="SimSun" w:hint="eastAsia"/>
          <w:iCs/>
          <w:kern w:val="22"/>
          <w:sz w:val="24"/>
          <w:szCs w:val="24"/>
          <w:lang w:eastAsia="zh-CN"/>
        </w:rPr>
        <w:t>缔约方大会，</w:t>
      </w:r>
    </w:p>
    <w:p w14:paraId="601BB1DC" w14:textId="77777777" w:rsidR="000F4977" w:rsidRDefault="000F4977" w:rsidP="00B854A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SimSun" w:hAnsi="SimSun" w:cs="SimSun"/>
          <w:iCs/>
          <w:kern w:val="22"/>
          <w:sz w:val="24"/>
          <w:szCs w:val="24"/>
          <w:lang w:eastAsia="zh-CN"/>
        </w:rPr>
      </w:pPr>
      <w:r w:rsidRPr="0031441C">
        <w:rPr>
          <w:rFonts w:ascii="KaiTi" w:eastAsia="KaiTi" w:hAnsi="KaiTi" w:cs="Arial Unicode MS" w:hint="eastAsia"/>
          <w:iCs/>
          <w:kern w:val="22"/>
          <w:sz w:val="24"/>
          <w:szCs w:val="24"/>
          <w:lang w:eastAsia="zh-CN"/>
        </w:rPr>
        <w:t>回顾</w:t>
      </w:r>
      <w:r w:rsidRPr="0031441C">
        <w:rPr>
          <w:rFonts w:ascii="SimSun" w:hAnsi="SimSun" w:cs="SimSun" w:hint="eastAsia"/>
          <w:iCs/>
          <w:kern w:val="22"/>
          <w:sz w:val="24"/>
          <w:szCs w:val="24"/>
          <w:lang w:eastAsia="zh-CN"/>
        </w:rPr>
        <w:t>第</w:t>
      </w:r>
      <w:r w:rsidRPr="0031441C">
        <w:rPr>
          <w:iCs/>
          <w:kern w:val="22"/>
          <w:sz w:val="24"/>
          <w:szCs w:val="24"/>
          <w:lang w:eastAsia="zh-CN" w:bidi="th-TH"/>
        </w:rPr>
        <w:t>XII/25</w:t>
      </w:r>
      <w:r>
        <w:rPr>
          <w:rFonts w:ascii="SimSun" w:hAnsi="SimSun" w:cs="SimSun" w:hint="eastAsia"/>
          <w:iCs/>
          <w:kern w:val="22"/>
          <w:sz w:val="24"/>
          <w:szCs w:val="24"/>
          <w:lang w:eastAsia="zh-CN"/>
        </w:rPr>
        <w:t>号</w:t>
      </w:r>
      <w:r w:rsidRPr="0031441C">
        <w:rPr>
          <w:rFonts w:ascii="SimSun" w:hAnsi="SimSun" w:cs="SimSun" w:hint="eastAsia"/>
          <w:iCs/>
          <w:kern w:val="22"/>
          <w:sz w:val="24"/>
          <w:szCs w:val="24"/>
          <w:lang w:eastAsia="zh-CN"/>
        </w:rPr>
        <w:t>和</w:t>
      </w:r>
      <w:r>
        <w:rPr>
          <w:rFonts w:ascii="SimSun" w:hAnsi="SimSun" w:cs="SimSun" w:hint="eastAsia"/>
          <w:iCs/>
          <w:kern w:val="22"/>
          <w:sz w:val="24"/>
          <w:szCs w:val="24"/>
          <w:lang w:eastAsia="zh-CN"/>
        </w:rPr>
        <w:t>第</w:t>
      </w:r>
      <w:r w:rsidRPr="0031441C">
        <w:rPr>
          <w:iCs/>
          <w:kern w:val="22"/>
          <w:sz w:val="24"/>
          <w:szCs w:val="24"/>
          <w:lang w:eastAsia="zh-CN" w:bidi="th-TH"/>
        </w:rPr>
        <w:t>XIII/29</w:t>
      </w:r>
      <w:r w:rsidRPr="0031441C">
        <w:rPr>
          <w:rFonts w:ascii="SimSun" w:hAnsi="SimSun" w:cs="SimSun" w:hint="eastAsia"/>
          <w:iCs/>
          <w:kern w:val="22"/>
          <w:sz w:val="24"/>
          <w:szCs w:val="24"/>
          <w:lang w:eastAsia="zh-CN"/>
        </w:rPr>
        <w:t>号决定，</w:t>
      </w:r>
    </w:p>
    <w:p w14:paraId="21833B9C" w14:textId="4A1FDBAD" w:rsidR="000F4977" w:rsidRPr="0031441C" w:rsidRDefault="00725586" w:rsidP="00B854A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i/>
          <w:iCs/>
          <w:kern w:val="22"/>
          <w:sz w:val="24"/>
          <w:szCs w:val="24"/>
          <w:lang w:eastAsia="zh-CN" w:bidi="th-TH"/>
        </w:rPr>
      </w:pPr>
      <w:r>
        <w:rPr>
          <w:rFonts w:ascii="KaiTi" w:eastAsia="KaiTi" w:hAnsi="KaiTi" w:cs="Arial Unicode MS" w:hint="eastAsia"/>
          <w:iCs/>
          <w:kern w:val="22"/>
          <w:sz w:val="24"/>
          <w:szCs w:val="24"/>
          <w:lang w:eastAsia="zh-CN"/>
        </w:rPr>
        <w:t>认识到</w:t>
      </w:r>
      <w:r w:rsidR="000F4977" w:rsidRPr="0031441C">
        <w:rPr>
          <w:rFonts w:ascii="SimSun" w:hAnsi="SimSun" w:cs="SimSun" w:hint="eastAsia"/>
          <w:sz w:val="24"/>
          <w:szCs w:val="24"/>
          <w:lang w:eastAsia="zh-CN"/>
        </w:rPr>
        <w:t>生物多样性和生态系统政府间科学政策平台</w:t>
      </w:r>
      <w:r w:rsidR="000F4977">
        <w:rPr>
          <w:rFonts w:ascii="SimSun" w:hAnsi="SimSun" w:cs="SimSun" w:hint="eastAsia"/>
          <w:sz w:val="24"/>
          <w:szCs w:val="24"/>
          <w:lang w:eastAsia="zh-CN"/>
        </w:rPr>
        <w:t>对于《公约》下的工作</w:t>
      </w:r>
      <w:r w:rsidR="00EB2FA5">
        <w:rPr>
          <w:rFonts w:ascii="SimSun" w:hAnsi="SimSun" w:cs="SimSun" w:hint="eastAsia"/>
          <w:sz w:val="24"/>
          <w:szCs w:val="24"/>
          <w:lang w:eastAsia="zh-CN"/>
        </w:rPr>
        <w:t>日益</w:t>
      </w:r>
      <w:r w:rsidR="000F4977">
        <w:rPr>
          <w:rFonts w:ascii="SimSun" w:hAnsi="SimSun" w:cs="SimSun" w:hint="eastAsia"/>
          <w:sz w:val="24"/>
          <w:szCs w:val="24"/>
          <w:lang w:eastAsia="zh-CN"/>
        </w:rPr>
        <w:t xml:space="preserve">息息 </w:t>
      </w:r>
      <w:r w:rsidR="000F4977">
        <w:rPr>
          <w:rFonts w:ascii="SimSun" w:hAnsi="SimSun" w:cs="SimSun"/>
          <w:sz w:val="24"/>
          <w:szCs w:val="24"/>
          <w:lang w:eastAsia="zh-CN"/>
        </w:rPr>
        <w:t xml:space="preserve">    </w:t>
      </w:r>
      <w:r w:rsidR="000F4977">
        <w:rPr>
          <w:rFonts w:ascii="SimSun" w:hAnsi="SimSun" w:cs="SimSun" w:hint="eastAsia"/>
          <w:sz w:val="24"/>
          <w:szCs w:val="24"/>
          <w:lang w:eastAsia="zh-CN"/>
        </w:rPr>
        <w:t>相关，</w:t>
      </w:r>
    </w:p>
    <w:p w14:paraId="42929EB9" w14:textId="1C6685CC" w:rsidR="000F4977" w:rsidRPr="0031441C" w:rsidRDefault="000F4977" w:rsidP="00B854A5">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rFonts w:ascii="SimSun" w:eastAsia="Times New Roman" w:hAnsi="SimSun"/>
          <w:kern w:val="22"/>
          <w:sz w:val="24"/>
          <w:szCs w:val="24"/>
          <w:lang w:eastAsia="zh-CN"/>
        </w:rPr>
      </w:pPr>
      <w:r>
        <w:rPr>
          <w:rFonts w:ascii="KaiTi" w:eastAsia="KaiTi" w:hAnsi="KaiTi" w:hint="eastAsia"/>
          <w:iCs/>
          <w:sz w:val="24"/>
          <w:szCs w:val="24"/>
          <w:lang w:eastAsia="zh-CN"/>
        </w:rPr>
        <w:t>赞赏地</w:t>
      </w:r>
      <w:r w:rsidRPr="00DD17C3">
        <w:rPr>
          <w:rFonts w:ascii="KaiTi" w:eastAsia="KaiTi" w:hAnsi="KaiTi" w:hint="eastAsia"/>
          <w:iCs/>
          <w:sz w:val="24"/>
          <w:szCs w:val="24"/>
          <w:lang w:eastAsia="zh-CN"/>
        </w:rPr>
        <w:t>欢迎</w:t>
      </w:r>
      <w:r w:rsidRPr="0031441C">
        <w:rPr>
          <w:rFonts w:ascii="SimSun" w:hAnsi="SimSun" w:cs="SimSun" w:hint="eastAsia"/>
          <w:sz w:val="24"/>
          <w:szCs w:val="24"/>
          <w:lang w:eastAsia="zh-CN"/>
        </w:rPr>
        <w:t>生物多样性和生态系统政府间科学政策平台第一个工作方案</w:t>
      </w:r>
      <w:r w:rsidR="00EB2FA5">
        <w:rPr>
          <w:rFonts w:ascii="SimSun" w:hAnsi="SimSun" w:cs="SimSun" w:hint="eastAsia"/>
          <w:sz w:val="24"/>
          <w:szCs w:val="24"/>
          <w:lang w:eastAsia="zh-CN"/>
        </w:rPr>
        <w:t>的</w:t>
      </w:r>
      <w:r w:rsidR="008F0D64">
        <w:rPr>
          <w:rFonts w:ascii="SimSun" w:hAnsi="SimSun" w:cs="SimSun" w:hint="eastAsia"/>
          <w:sz w:val="24"/>
          <w:szCs w:val="24"/>
          <w:lang w:eastAsia="zh-CN"/>
        </w:rPr>
        <w:t>执行</w:t>
      </w:r>
      <w:r w:rsidR="00EB2FA5">
        <w:rPr>
          <w:rFonts w:ascii="SimSun" w:hAnsi="SimSun" w:cs="SimSun" w:hint="eastAsia"/>
          <w:sz w:val="24"/>
          <w:szCs w:val="24"/>
          <w:lang w:eastAsia="zh-CN"/>
        </w:rPr>
        <w:t>工作取得进展</w:t>
      </w:r>
      <w:r w:rsidRPr="0031441C">
        <w:rPr>
          <w:rFonts w:ascii="SimSun" w:hAnsi="SimSun" w:cs="SimSun" w:hint="eastAsia"/>
          <w:sz w:val="24"/>
          <w:szCs w:val="24"/>
          <w:lang w:eastAsia="zh-CN"/>
        </w:rPr>
        <w:t>；</w:t>
      </w:r>
    </w:p>
    <w:p w14:paraId="0DDFEAE3" w14:textId="27AD9E50" w:rsidR="000F4977" w:rsidRPr="0031441C" w:rsidRDefault="000F4977" w:rsidP="00B854A5">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rFonts w:ascii="SimSun" w:eastAsia="Times New Roman" w:hAnsi="SimSun" w:cs="SimSun"/>
          <w:sz w:val="24"/>
          <w:szCs w:val="24"/>
          <w:lang w:eastAsia="zh-CN"/>
        </w:rPr>
      </w:pPr>
      <w:r w:rsidRPr="0031441C">
        <w:rPr>
          <w:rFonts w:ascii="KaiTi" w:eastAsia="KaiTi" w:hAnsi="KaiTi" w:hint="eastAsia"/>
          <w:iCs/>
          <w:sz w:val="24"/>
          <w:szCs w:val="24"/>
          <w:lang w:eastAsia="zh-CN"/>
        </w:rPr>
        <w:t>又欢迎</w:t>
      </w:r>
      <w:r w:rsidRPr="0031441C">
        <w:rPr>
          <w:rFonts w:ascii="SimSun" w:hAnsi="SimSun" w:cs="SimSun" w:hint="eastAsia"/>
          <w:iCs/>
          <w:sz w:val="24"/>
          <w:szCs w:val="24"/>
          <w:lang w:eastAsia="zh-CN"/>
        </w:rPr>
        <w:t>生物多样性和生态系统政府间科学政策平台</w:t>
      </w:r>
      <w:r w:rsidRPr="0031441C">
        <w:rPr>
          <w:rFonts w:ascii="SimSun" w:hAnsi="SimSun" w:cs="SimSun" w:hint="eastAsia"/>
          <w:sz w:val="24"/>
          <w:szCs w:val="24"/>
          <w:lang w:eastAsia="zh-CN"/>
        </w:rPr>
        <w:t>全体会议核准进行野生物种可持续利用</w:t>
      </w:r>
      <w:r w:rsidR="00EB2FA5">
        <w:rPr>
          <w:rFonts w:ascii="SimSun" w:hAnsi="SimSun" w:cs="SimSun" w:hint="eastAsia"/>
          <w:sz w:val="24"/>
          <w:szCs w:val="24"/>
          <w:lang w:eastAsia="zh-CN"/>
        </w:rPr>
        <w:t>的</w:t>
      </w:r>
      <w:r w:rsidRPr="0031441C">
        <w:rPr>
          <w:rFonts w:ascii="SimSun" w:hAnsi="SimSun" w:cs="SimSun" w:hint="eastAsia"/>
          <w:sz w:val="24"/>
          <w:szCs w:val="24"/>
          <w:lang w:eastAsia="zh-CN"/>
        </w:rPr>
        <w:t>专题评估、外来入侵物种</w:t>
      </w:r>
      <w:r w:rsidR="00EB2FA5">
        <w:rPr>
          <w:rFonts w:ascii="SimSun" w:hAnsi="SimSun" w:cs="SimSun" w:hint="eastAsia"/>
          <w:sz w:val="24"/>
          <w:szCs w:val="24"/>
          <w:lang w:eastAsia="zh-CN"/>
        </w:rPr>
        <w:t>的</w:t>
      </w:r>
      <w:r w:rsidRPr="0031441C">
        <w:rPr>
          <w:rFonts w:ascii="SimSun" w:hAnsi="SimSun" w:cs="SimSun" w:hint="eastAsia"/>
          <w:sz w:val="24"/>
          <w:szCs w:val="24"/>
          <w:lang w:eastAsia="zh-CN"/>
        </w:rPr>
        <w:t>专题评估和关于自然及其惠益的多重价值</w:t>
      </w:r>
      <w:r w:rsidR="00EB2FA5">
        <w:rPr>
          <w:rFonts w:ascii="SimSun" w:hAnsi="SimSun" w:cs="SimSun" w:hint="eastAsia"/>
          <w:sz w:val="24"/>
          <w:szCs w:val="24"/>
          <w:lang w:eastAsia="zh-CN"/>
        </w:rPr>
        <w:t>的</w:t>
      </w:r>
      <w:r w:rsidRPr="0031441C">
        <w:rPr>
          <w:rFonts w:ascii="SimSun" w:hAnsi="SimSun" w:cs="SimSun" w:hint="eastAsia"/>
          <w:sz w:val="24"/>
          <w:szCs w:val="24"/>
          <w:lang w:eastAsia="zh-CN"/>
        </w:rPr>
        <w:t>多元概念化的方法论评估；</w:t>
      </w:r>
    </w:p>
    <w:p w14:paraId="6242CB79" w14:textId="0F6D43EB" w:rsidR="000F4977" w:rsidRPr="0031441C" w:rsidRDefault="000F4977" w:rsidP="00B854A5">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iCs/>
          <w:kern w:val="22"/>
          <w:sz w:val="24"/>
          <w:szCs w:val="24"/>
          <w:lang w:eastAsia="zh-CN"/>
        </w:rPr>
      </w:pPr>
      <w:r w:rsidRPr="0031441C">
        <w:rPr>
          <w:rFonts w:ascii="KaiTi" w:eastAsia="KaiTi" w:hAnsi="KaiTi" w:cs="SimSun" w:hint="eastAsia"/>
          <w:iCs/>
          <w:kern w:val="22"/>
          <w:sz w:val="24"/>
          <w:szCs w:val="24"/>
          <w:lang w:eastAsia="zh-CN"/>
        </w:rPr>
        <w:t>同意</w:t>
      </w:r>
      <w:r w:rsidRPr="0031441C">
        <w:rPr>
          <w:rFonts w:ascii="SimSun" w:hAnsi="SimSun" w:cs="SimSun" w:hint="eastAsia"/>
          <w:iCs/>
          <w:kern w:val="22"/>
          <w:sz w:val="24"/>
          <w:szCs w:val="24"/>
          <w:lang w:eastAsia="zh-CN"/>
        </w:rPr>
        <w:t>生物多样性和生态系统服务政府间科学政策平台</w:t>
      </w:r>
      <w:r w:rsidRPr="0031441C">
        <w:rPr>
          <w:iCs/>
          <w:kern w:val="22"/>
          <w:sz w:val="24"/>
          <w:szCs w:val="24"/>
          <w:lang w:eastAsia="zh-CN"/>
        </w:rPr>
        <w:t>2030</w:t>
      </w:r>
      <w:r w:rsidRPr="0031441C">
        <w:rPr>
          <w:rFonts w:ascii="SimSun" w:hAnsi="SimSun" w:cs="SimSun" w:hint="eastAsia"/>
          <w:iCs/>
          <w:kern w:val="22"/>
          <w:sz w:val="24"/>
          <w:szCs w:val="24"/>
          <w:lang w:eastAsia="zh-CN"/>
        </w:rPr>
        <w:t>年的战略框架和滚动工作计划的内容应与</w:t>
      </w:r>
      <w:r w:rsidRPr="0031441C">
        <w:rPr>
          <w:iCs/>
          <w:kern w:val="22"/>
          <w:sz w:val="24"/>
          <w:szCs w:val="24"/>
          <w:lang w:eastAsia="zh-CN"/>
        </w:rPr>
        <w:t>2020</w:t>
      </w:r>
      <w:r w:rsidRPr="0031441C">
        <w:rPr>
          <w:rFonts w:ascii="SimSun" w:hAnsi="SimSun" w:cs="SimSun" w:hint="eastAsia"/>
          <w:iCs/>
          <w:kern w:val="22"/>
          <w:sz w:val="24"/>
          <w:szCs w:val="24"/>
          <w:lang w:eastAsia="zh-CN"/>
        </w:rPr>
        <w:t>年后全球生物多样性框架相关，并</w:t>
      </w:r>
      <w:r>
        <w:rPr>
          <w:rFonts w:ascii="SimSun" w:hAnsi="SimSun" w:cs="SimSun" w:hint="eastAsia"/>
          <w:iCs/>
          <w:kern w:val="22"/>
          <w:sz w:val="24"/>
          <w:szCs w:val="24"/>
          <w:lang w:eastAsia="zh-CN"/>
        </w:rPr>
        <w:t>有助于支持</w:t>
      </w:r>
      <w:r w:rsidRPr="0031441C">
        <w:rPr>
          <w:rFonts w:ascii="SimSun" w:hAnsi="SimSun" w:cs="SimSun" w:hint="eastAsia"/>
          <w:iCs/>
          <w:kern w:val="22"/>
          <w:sz w:val="24"/>
          <w:szCs w:val="24"/>
          <w:lang w:eastAsia="zh-CN"/>
        </w:rPr>
        <w:t>其实施和评估进展情况，</w:t>
      </w:r>
      <w:r>
        <w:rPr>
          <w:rFonts w:ascii="SimSun" w:hAnsi="SimSun" w:cs="SimSun" w:hint="eastAsia"/>
          <w:iCs/>
          <w:kern w:val="22"/>
          <w:sz w:val="24"/>
          <w:szCs w:val="24"/>
          <w:lang w:eastAsia="zh-CN"/>
        </w:rPr>
        <w:t>包括使该平台的四项功能进一步一体化，</w:t>
      </w:r>
      <w:r w:rsidRPr="0031441C">
        <w:rPr>
          <w:rFonts w:ascii="SimSun" w:hAnsi="SimSun" w:cs="SimSun" w:hint="eastAsia"/>
          <w:iCs/>
          <w:kern w:val="22"/>
          <w:sz w:val="24"/>
          <w:szCs w:val="24"/>
          <w:lang w:eastAsia="zh-CN"/>
        </w:rPr>
        <w:t>并</w:t>
      </w:r>
      <w:r w:rsidRPr="0031441C">
        <w:rPr>
          <w:rFonts w:ascii="KaiTi" w:eastAsia="KaiTi" w:hAnsi="KaiTi" w:cs="SimSun" w:hint="eastAsia"/>
          <w:iCs/>
          <w:kern w:val="22"/>
          <w:sz w:val="24"/>
          <w:szCs w:val="24"/>
          <w:lang w:eastAsia="zh-CN"/>
        </w:rPr>
        <w:t>认识到</w:t>
      </w:r>
      <w:r w:rsidRPr="0031441C">
        <w:rPr>
          <w:rFonts w:ascii="SimSun" w:hAnsi="SimSun" w:cs="SimSun" w:hint="eastAsia"/>
          <w:iCs/>
          <w:kern w:val="22"/>
          <w:sz w:val="24"/>
          <w:szCs w:val="24"/>
          <w:lang w:eastAsia="zh-CN"/>
        </w:rPr>
        <w:t>工作计划的滚动性质应容许不断交流信息，</w:t>
      </w:r>
      <w:r w:rsidR="00C37A3E">
        <w:rPr>
          <w:rFonts w:ascii="SimSun" w:hAnsi="SimSun" w:cs="SimSun" w:hint="eastAsia"/>
          <w:iCs/>
          <w:kern w:val="22"/>
          <w:sz w:val="24"/>
          <w:szCs w:val="24"/>
          <w:lang w:eastAsia="zh-CN"/>
        </w:rPr>
        <w:t>并</w:t>
      </w:r>
      <w:r w:rsidRPr="0031441C">
        <w:rPr>
          <w:rFonts w:ascii="SimSun" w:hAnsi="SimSun" w:cs="SimSun" w:hint="eastAsia"/>
          <w:iCs/>
          <w:kern w:val="22"/>
          <w:sz w:val="24"/>
          <w:szCs w:val="24"/>
          <w:lang w:eastAsia="zh-CN"/>
        </w:rPr>
        <w:t>使《公约》能根据</w:t>
      </w:r>
      <w:r w:rsidRPr="0031441C">
        <w:rPr>
          <w:iCs/>
          <w:kern w:val="22"/>
          <w:sz w:val="24"/>
          <w:szCs w:val="24"/>
          <w:lang w:eastAsia="zh-CN"/>
        </w:rPr>
        <w:t>2020</w:t>
      </w:r>
      <w:r w:rsidRPr="0031441C">
        <w:rPr>
          <w:rFonts w:ascii="SimSun" w:hAnsi="SimSun" w:cs="SimSun" w:hint="eastAsia"/>
          <w:iCs/>
          <w:kern w:val="22"/>
          <w:sz w:val="24"/>
          <w:szCs w:val="24"/>
          <w:lang w:eastAsia="zh-CN"/>
        </w:rPr>
        <w:t>年后全球生物多样性框架的最终形式和执行情况的需求，提出进一步的</w:t>
      </w:r>
      <w:r w:rsidR="00C37A3E">
        <w:rPr>
          <w:rFonts w:ascii="SimSun" w:hAnsi="SimSun" w:cs="SimSun" w:hint="eastAsia"/>
          <w:iCs/>
          <w:kern w:val="22"/>
          <w:sz w:val="24"/>
          <w:szCs w:val="24"/>
          <w:lang w:eastAsia="zh-CN"/>
        </w:rPr>
        <w:t>要求</w:t>
      </w:r>
      <w:r w:rsidRPr="0031441C">
        <w:rPr>
          <w:rFonts w:ascii="SimSun" w:hAnsi="SimSun" w:cs="SimSun" w:hint="eastAsia"/>
          <w:iCs/>
          <w:kern w:val="22"/>
          <w:sz w:val="24"/>
          <w:szCs w:val="24"/>
          <w:lang w:eastAsia="zh-CN"/>
        </w:rPr>
        <w:t>；</w:t>
      </w:r>
    </w:p>
    <w:p w14:paraId="3784C5F6" w14:textId="01A301E1" w:rsidR="000F4977" w:rsidRPr="0031441C" w:rsidRDefault="000F4977" w:rsidP="00B854A5">
      <w:pPr>
        <w:pStyle w:val="StylePara1HeadingsCSTimesNewRoman"/>
        <w:widowControl w:val="0"/>
        <w:numPr>
          <w:ilvl w:val="0"/>
          <w:numId w:val="35"/>
        </w:numPr>
        <w:suppressLineNumbers/>
        <w:tabs>
          <w:tab w:val="left" w:pos="1440"/>
        </w:tabs>
        <w:suppressAutoHyphens/>
        <w:kinsoku w:val="0"/>
        <w:overflowPunct w:val="0"/>
        <w:autoSpaceDE w:val="0"/>
        <w:autoSpaceDN w:val="0"/>
        <w:adjustRightInd w:val="0"/>
        <w:snapToGrid w:val="0"/>
        <w:ind w:left="0" w:firstLine="720"/>
        <w:rPr>
          <w:rFonts w:eastAsia="Times New Roman"/>
          <w:iCs/>
          <w:spacing w:val="-1"/>
          <w:kern w:val="22"/>
          <w:sz w:val="24"/>
          <w:szCs w:val="24"/>
          <w:lang w:eastAsia="zh-CN"/>
        </w:rPr>
      </w:pPr>
      <w:r w:rsidRPr="0031441C">
        <w:rPr>
          <w:rFonts w:ascii="KaiTi" w:eastAsia="KaiTi" w:hAnsi="KaiTi" w:cs="SimSun" w:hint="eastAsia"/>
          <w:iCs/>
          <w:kern w:val="22"/>
          <w:sz w:val="24"/>
          <w:szCs w:val="24"/>
          <w:lang w:eastAsia="zh-CN"/>
        </w:rPr>
        <w:t>注意到</w:t>
      </w:r>
      <w:r w:rsidRPr="0031441C">
        <w:rPr>
          <w:rFonts w:ascii="SimSun" w:hAnsi="SimSun" w:cs="SimSun" w:hint="eastAsia"/>
          <w:spacing w:val="-1"/>
          <w:kern w:val="22"/>
          <w:sz w:val="24"/>
          <w:szCs w:val="24"/>
          <w:lang w:eastAsia="zh-CN"/>
        </w:rPr>
        <w:t>到</w:t>
      </w:r>
      <w:r w:rsidRPr="0031441C">
        <w:rPr>
          <w:spacing w:val="-1"/>
          <w:kern w:val="22"/>
          <w:sz w:val="24"/>
          <w:szCs w:val="24"/>
          <w:lang w:eastAsia="zh-CN"/>
        </w:rPr>
        <w:t>2030</w:t>
      </w:r>
      <w:r w:rsidRPr="0031441C">
        <w:rPr>
          <w:rFonts w:ascii="SimSun" w:hAnsi="SimSun" w:cs="SimSun" w:hint="eastAsia"/>
          <w:spacing w:val="-1"/>
          <w:kern w:val="22"/>
          <w:sz w:val="24"/>
          <w:szCs w:val="24"/>
          <w:lang w:eastAsia="zh-CN"/>
        </w:rPr>
        <w:t>年战略框架和生物多样性和生态系统服务政府间科学政策平台滚动工作方案的内容预计</w:t>
      </w:r>
      <w:r>
        <w:rPr>
          <w:rFonts w:ascii="SimSun" w:hAnsi="SimSun" w:cs="SimSun" w:hint="eastAsia"/>
          <w:spacing w:val="-1"/>
          <w:kern w:val="22"/>
          <w:sz w:val="24"/>
          <w:szCs w:val="24"/>
          <w:lang w:eastAsia="zh-CN"/>
        </w:rPr>
        <w:t>也</w:t>
      </w:r>
      <w:r w:rsidRPr="0031441C">
        <w:rPr>
          <w:rFonts w:ascii="SimSun" w:hAnsi="SimSun" w:cs="SimSun" w:hint="eastAsia"/>
          <w:spacing w:val="-1"/>
          <w:kern w:val="22"/>
          <w:sz w:val="24"/>
          <w:szCs w:val="24"/>
          <w:lang w:eastAsia="zh-CN"/>
        </w:rPr>
        <w:t>会与《</w:t>
      </w:r>
      <w:r w:rsidRPr="0031441C">
        <w:rPr>
          <w:spacing w:val="-1"/>
          <w:kern w:val="22"/>
          <w:sz w:val="24"/>
          <w:szCs w:val="24"/>
          <w:lang w:eastAsia="zh-CN"/>
        </w:rPr>
        <w:t>2030</w:t>
      </w:r>
      <w:r w:rsidRPr="0031441C">
        <w:rPr>
          <w:rFonts w:ascii="SimSun" w:hAnsi="SimSun" w:cs="SimSun" w:hint="eastAsia"/>
          <w:spacing w:val="-1"/>
          <w:kern w:val="22"/>
          <w:sz w:val="24"/>
          <w:szCs w:val="24"/>
          <w:lang w:eastAsia="zh-CN"/>
        </w:rPr>
        <w:t>年可持续发展议程》</w:t>
      </w:r>
      <w:r w:rsidRPr="000F4977">
        <w:rPr>
          <w:rStyle w:val="FootnoteReference"/>
          <w:iCs/>
          <w:spacing w:val="-1"/>
          <w:kern w:val="22"/>
          <w:sz w:val="24"/>
          <w:szCs w:val="24"/>
          <w:u w:val="none"/>
          <w:vertAlign w:val="superscript"/>
        </w:rPr>
        <w:footnoteReference w:id="1"/>
      </w:r>
      <w:r w:rsidRPr="000F4977">
        <w:rPr>
          <w:rFonts w:ascii="SimSun" w:eastAsia="Times New Roman" w:hAnsi="SimSun" w:cs="SimSun"/>
          <w:spacing w:val="-1"/>
          <w:kern w:val="22"/>
          <w:sz w:val="24"/>
          <w:szCs w:val="24"/>
          <w:lang w:eastAsia="zh-CN"/>
        </w:rPr>
        <w:t xml:space="preserve"> </w:t>
      </w:r>
      <w:r w:rsidRPr="0031441C">
        <w:rPr>
          <w:rFonts w:ascii="SimSun" w:hAnsi="SimSun" w:cs="SimSun" w:hint="eastAsia"/>
          <w:spacing w:val="-1"/>
          <w:kern w:val="22"/>
          <w:sz w:val="24"/>
          <w:szCs w:val="24"/>
          <w:lang w:eastAsia="zh-CN"/>
        </w:rPr>
        <w:t>和《</w:t>
      </w:r>
      <w:r>
        <w:rPr>
          <w:rFonts w:ascii="SimSun" w:hAnsi="SimSun" w:cs="SimSun" w:hint="eastAsia"/>
          <w:spacing w:val="-1"/>
          <w:kern w:val="22"/>
          <w:sz w:val="24"/>
          <w:szCs w:val="24"/>
          <w:lang w:eastAsia="zh-CN"/>
        </w:rPr>
        <w:t>关于</w:t>
      </w:r>
      <w:r w:rsidRPr="0031441C">
        <w:rPr>
          <w:rFonts w:ascii="SimSun" w:hAnsi="SimSun" w:cs="SimSun" w:hint="eastAsia"/>
          <w:spacing w:val="-1"/>
          <w:kern w:val="22"/>
          <w:sz w:val="24"/>
          <w:szCs w:val="24"/>
          <w:lang w:eastAsia="zh-CN"/>
        </w:rPr>
        <w:t>气候变化</w:t>
      </w:r>
      <w:r>
        <w:rPr>
          <w:rFonts w:ascii="SimSun" w:hAnsi="SimSun" w:cs="SimSun" w:hint="eastAsia"/>
          <w:spacing w:val="-1"/>
          <w:kern w:val="22"/>
          <w:sz w:val="24"/>
          <w:szCs w:val="24"/>
          <w:lang w:eastAsia="zh-CN"/>
        </w:rPr>
        <w:t>的巴黎</w:t>
      </w:r>
      <w:r w:rsidRPr="0031441C">
        <w:rPr>
          <w:rFonts w:ascii="SimSun" w:hAnsi="SimSun" w:cs="SimSun" w:hint="eastAsia"/>
          <w:spacing w:val="-1"/>
          <w:kern w:val="22"/>
          <w:sz w:val="24"/>
          <w:szCs w:val="24"/>
          <w:lang w:eastAsia="zh-CN"/>
        </w:rPr>
        <w:t>协定》</w:t>
      </w:r>
      <w:r w:rsidRPr="000F4977">
        <w:rPr>
          <w:rStyle w:val="FootnoteReference"/>
          <w:iCs/>
          <w:spacing w:val="-1"/>
          <w:kern w:val="22"/>
          <w:sz w:val="24"/>
          <w:szCs w:val="24"/>
          <w:u w:val="none"/>
          <w:vertAlign w:val="superscript"/>
        </w:rPr>
        <w:footnoteReference w:id="2"/>
      </w:r>
      <w:r w:rsidRPr="000F4977">
        <w:rPr>
          <w:rFonts w:ascii="SimSun" w:eastAsia="Times New Roman" w:hAnsi="SimSun" w:cs="SimSun"/>
          <w:spacing w:val="-1"/>
          <w:kern w:val="22"/>
          <w:sz w:val="24"/>
          <w:szCs w:val="24"/>
          <w:vertAlign w:val="superscript"/>
          <w:lang w:eastAsia="zh-CN"/>
        </w:rPr>
        <w:t xml:space="preserve"> </w:t>
      </w:r>
      <w:r w:rsidRPr="0031441C">
        <w:rPr>
          <w:rFonts w:ascii="SimSun" w:hAnsi="SimSun" w:cs="SimSun" w:hint="eastAsia"/>
          <w:spacing w:val="-1"/>
          <w:kern w:val="22"/>
          <w:sz w:val="24"/>
          <w:szCs w:val="24"/>
          <w:lang w:eastAsia="zh-CN"/>
        </w:rPr>
        <w:lastRenderedPageBreak/>
        <w:t>以及其他生物多样性进程有关；</w:t>
      </w:r>
    </w:p>
    <w:p w14:paraId="4665A8B6" w14:textId="08A238E4" w:rsidR="00784588" w:rsidRPr="00666FAF" w:rsidRDefault="000F4977" w:rsidP="004B3AA9">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kern w:val="22"/>
          <w:sz w:val="24"/>
          <w:szCs w:val="24"/>
          <w:lang w:eastAsia="zh-CN"/>
        </w:rPr>
      </w:pPr>
      <w:r w:rsidRPr="00666FAF">
        <w:rPr>
          <w:rFonts w:hint="eastAsia"/>
          <w:sz w:val="24"/>
          <w:szCs w:val="24"/>
          <w:lang w:eastAsia="zh-CN"/>
        </w:rPr>
        <w:t>欢迎生物多样性和生态系统政府间科学政策平台</w:t>
      </w:r>
      <w:r w:rsidR="00203765" w:rsidRPr="00666FAF">
        <w:rPr>
          <w:rFonts w:hint="eastAsia"/>
          <w:sz w:val="24"/>
          <w:szCs w:val="24"/>
          <w:lang w:eastAsia="zh-CN"/>
        </w:rPr>
        <w:t>努力</w:t>
      </w:r>
      <w:r w:rsidRPr="00666FAF">
        <w:rPr>
          <w:rFonts w:hint="eastAsia"/>
          <w:sz w:val="24"/>
          <w:szCs w:val="24"/>
          <w:lang w:eastAsia="zh-CN"/>
        </w:rPr>
        <w:t>进一步加强</w:t>
      </w:r>
      <w:r w:rsidR="00203765" w:rsidRPr="00666FAF">
        <w:rPr>
          <w:rFonts w:hint="eastAsia"/>
          <w:sz w:val="24"/>
          <w:szCs w:val="24"/>
          <w:lang w:eastAsia="zh-CN"/>
        </w:rPr>
        <w:t>与</w:t>
      </w:r>
      <w:r w:rsidRPr="00666FAF">
        <w:rPr>
          <w:rFonts w:hint="eastAsia"/>
          <w:sz w:val="24"/>
          <w:szCs w:val="24"/>
          <w:lang w:eastAsia="zh-CN"/>
        </w:rPr>
        <w:t>政府间气候变化专门委员会</w:t>
      </w:r>
      <w:r w:rsidR="00203765" w:rsidRPr="00666FAF">
        <w:rPr>
          <w:rFonts w:hint="eastAsia"/>
          <w:sz w:val="24"/>
          <w:szCs w:val="24"/>
          <w:lang w:eastAsia="zh-CN"/>
        </w:rPr>
        <w:t>开展</w:t>
      </w:r>
      <w:r w:rsidR="00203765" w:rsidRPr="00666FAF">
        <w:rPr>
          <w:sz w:val="24"/>
          <w:szCs w:val="24"/>
          <w:lang w:eastAsia="zh-CN"/>
        </w:rPr>
        <w:t>，</w:t>
      </w:r>
      <w:r w:rsidRPr="00666FAF">
        <w:rPr>
          <w:rFonts w:hint="eastAsia"/>
          <w:sz w:val="24"/>
          <w:szCs w:val="24"/>
          <w:lang w:eastAsia="zh-CN"/>
        </w:rPr>
        <w:t>合作</w:t>
      </w:r>
      <w:r w:rsidR="00203765" w:rsidRPr="00666FAF">
        <w:rPr>
          <w:rFonts w:hint="eastAsia"/>
          <w:sz w:val="24"/>
          <w:szCs w:val="24"/>
          <w:lang w:eastAsia="zh-CN"/>
        </w:rPr>
        <w:t>制定和执行其工作方案</w:t>
      </w:r>
      <w:r w:rsidRPr="00666FAF">
        <w:rPr>
          <w:rFonts w:ascii="SimSun" w:hAnsi="SimSun" w:cs="SimSun" w:hint="eastAsia"/>
          <w:iCs/>
          <w:sz w:val="24"/>
          <w:szCs w:val="24"/>
          <w:lang w:eastAsia="zh-CN"/>
        </w:rPr>
        <w:t>，</w:t>
      </w:r>
      <w:r w:rsidR="00666FAF">
        <w:rPr>
          <w:rFonts w:ascii="SimSun" w:hAnsi="SimSun" w:cs="SimSun" w:hint="eastAsia"/>
          <w:iCs/>
          <w:sz w:val="24"/>
          <w:szCs w:val="24"/>
          <w:lang w:eastAsia="zh-CN"/>
        </w:rPr>
        <w:t>同时</w:t>
      </w:r>
      <w:r w:rsidRPr="00666FAF">
        <w:rPr>
          <w:rFonts w:ascii="KaiTi" w:eastAsia="KaiTi" w:hAnsi="KaiTi" w:cs="SimSun" w:hint="eastAsia"/>
          <w:iCs/>
          <w:sz w:val="24"/>
          <w:szCs w:val="24"/>
          <w:lang w:eastAsia="zh-CN"/>
        </w:rPr>
        <w:t>注意到</w:t>
      </w:r>
      <w:r w:rsidR="00666FAF">
        <w:rPr>
          <w:rFonts w:ascii="KaiTi" w:eastAsia="KaiTi" w:hAnsi="KaiTi" w:cs="SimSun" w:hint="eastAsia"/>
          <w:iCs/>
          <w:sz w:val="24"/>
          <w:szCs w:val="24"/>
          <w:lang w:eastAsia="zh-CN"/>
        </w:rPr>
        <w:t>，</w:t>
      </w:r>
      <w:r w:rsidR="00784588" w:rsidRPr="00666FAF">
        <w:rPr>
          <w:rFonts w:ascii="SimSun" w:hAnsi="SimSun" w:cs="SimSun" w:hint="eastAsia"/>
          <w:iCs/>
          <w:sz w:val="24"/>
          <w:szCs w:val="24"/>
          <w:lang w:eastAsia="zh-CN"/>
        </w:rPr>
        <w:t>根据</w:t>
      </w:r>
      <w:r w:rsidRPr="00666FAF">
        <w:rPr>
          <w:rFonts w:ascii="SimSun" w:hAnsi="SimSun" w:cs="SimSun" w:hint="eastAsia"/>
          <w:iCs/>
          <w:sz w:val="24"/>
          <w:szCs w:val="24"/>
          <w:lang w:eastAsia="zh-CN"/>
        </w:rPr>
        <w:t>生物多样性和气候变化</w:t>
      </w:r>
      <w:r w:rsidR="00E42823" w:rsidRPr="00666FAF">
        <w:rPr>
          <w:rFonts w:ascii="SimSun" w:hAnsi="SimSun" w:cs="SimSun" w:hint="eastAsia"/>
          <w:iCs/>
          <w:sz w:val="24"/>
          <w:szCs w:val="24"/>
          <w:lang w:eastAsia="zh-CN"/>
        </w:rPr>
        <w:t>情况</w:t>
      </w:r>
      <w:r w:rsidR="00AE55A3" w:rsidRPr="00666FAF">
        <w:rPr>
          <w:rFonts w:ascii="SimSun" w:hAnsi="SimSun" w:cs="SimSun"/>
          <w:iCs/>
          <w:sz w:val="24"/>
          <w:szCs w:val="24"/>
          <w:lang w:eastAsia="zh-CN"/>
        </w:rPr>
        <w:t>编制</w:t>
      </w:r>
      <w:r w:rsidR="00784588" w:rsidRPr="00666FAF">
        <w:rPr>
          <w:rFonts w:ascii="SimSun" w:hAnsi="SimSun" w:cs="SimSun" w:hint="eastAsia"/>
          <w:iCs/>
          <w:sz w:val="24"/>
          <w:szCs w:val="24"/>
          <w:lang w:eastAsia="zh-CN"/>
        </w:rPr>
        <w:t>的</w:t>
      </w:r>
      <w:r w:rsidR="00AE55A3" w:rsidRPr="00666FAF">
        <w:rPr>
          <w:rFonts w:ascii="SimSun" w:hAnsi="SimSun" w:cs="SimSun" w:hint="eastAsia"/>
          <w:iCs/>
          <w:sz w:val="24"/>
          <w:szCs w:val="24"/>
          <w:lang w:eastAsia="zh-CN"/>
        </w:rPr>
        <w:t>情景和</w:t>
      </w:r>
      <w:r w:rsidRPr="00666FAF">
        <w:rPr>
          <w:rFonts w:ascii="SimSun" w:hAnsi="SimSun" w:cs="SimSun" w:hint="eastAsia"/>
          <w:iCs/>
          <w:sz w:val="24"/>
          <w:szCs w:val="24"/>
          <w:lang w:eastAsia="zh-CN"/>
        </w:rPr>
        <w:t>相关评估</w:t>
      </w:r>
      <w:r w:rsidR="00784588" w:rsidRPr="00666FAF">
        <w:rPr>
          <w:rFonts w:ascii="SimSun" w:hAnsi="SimSun" w:cs="SimSun" w:hint="eastAsia"/>
          <w:iCs/>
          <w:sz w:val="24"/>
          <w:szCs w:val="24"/>
          <w:lang w:eastAsia="zh-CN"/>
        </w:rPr>
        <w:t>以及</w:t>
      </w:r>
      <w:r w:rsidRPr="00666FAF">
        <w:rPr>
          <w:rFonts w:ascii="SimSun" w:hAnsi="SimSun" w:cs="SimSun" w:hint="eastAsia"/>
          <w:iCs/>
          <w:sz w:val="24"/>
          <w:szCs w:val="24"/>
          <w:lang w:eastAsia="zh-CN"/>
        </w:rPr>
        <w:t>综合报告</w:t>
      </w:r>
      <w:r w:rsidR="00784588" w:rsidRPr="00666FAF">
        <w:rPr>
          <w:rFonts w:ascii="SimSun" w:hAnsi="SimSun" w:cs="SimSun" w:hint="eastAsia"/>
          <w:iCs/>
          <w:sz w:val="24"/>
          <w:szCs w:val="24"/>
          <w:lang w:eastAsia="zh-CN"/>
        </w:rPr>
        <w:t>之间的协调一致，以及</w:t>
      </w:r>
      <w:r w:rsidRPr="00666FAF">
        <w:rPr>
          <w:rFonts w:ascii="SimSun" w:hAnsi="SimSun" w:cs="SimSun" w:hint="eastAsia"/>
          <w:iCs/>
          <w:sz w:val="24"/>
          <w:szCs w:val="24"/>
          <w:lang w:eastAsia="zh-CN"/>
        </w:rPr>
        <w:t>除其他外</w:t>
      </w:r>
      <w:r w:rsidR="00784588" w:rsidRPr="00666FAF">
        <w:rPr>
          <w:rFonts w:ascii="SimSun" w:hAnsi="SimSun" w:cs="SimSun" w:hint="eastAsia"/>
          <w:iCs/>
          <w:sz w:val="24"/>
          <w:szCs w:val="24"/>
          <w:lang w:eastAsia="zh-CN"/>
        </w:rPr>
        <w:t>，</w:t>
      </w:r>
      <w:r w:rsidR="00784588" w:rsidRPr="00666FAF">
        <w:rPr>
          <w:rFonts w:ascii="SimSun" w:hAnsi="SimSun" w:cs="SimSun"/>
          <w:iCs/>
          <w:sz w:val="24"/>
          <w:szCs w:val="24"/>
          <w:lang w:eastAsia="zh-CN"/>
        </w:rPr>
        <w:t>为了</w:t>
      </w:r>
      <w:r w:rsidR="00784588" w:rsidRPr="00666FAF">
        <w:rPr>
          <w:rFonts w:ascii="SimSun" w:hAnsi="SimSun" w:cs="SimSun" w:hint="eastAsia"/>
          <w:iCs/>
          <w:sz w:val="24"/>
          <w:szCs w:val="24"/>
          <w:lang w:eastAsia="zh-CN"/>
        </w:rPr>
        <w:t>推动</w:t>
      </w:r>
      <w:r w:rsidRPr="00666FAF">
        <w:rPr>
          <w:rFonts w:ascii="SimSun" w:hAnsi="SimSun" w:cs="SimSun" w:hint="eastAsia"/>
          <w:iCs/>
          <w:sz w:val="24"/>
          <w:szCs w:val="24"/>
          <w:lang w:eastAsia="zh-CN"/>
        </w:rPr>
        <w:t>将生物多样性</w:t>
      </w:r>
      <w:r w:rsidRPr="00666FAF">
        <w:rPr>
          <w:rFonts w:ascii="SimSun" w:hAnsi="SimSun" w:cs="SimSun"/>
          <w:iCs/>
          <w:sz w:val="24"/>
          <w:szCs w:val="24"/>
          <w:lang w:eastAsia="zh-CN"/>
        </w:rPr>
        <w:t>-</w:t>
      </w:r>
      <w:r w:rsidRPr="00666FAF">
        <w:rPr>
          <w:rFonts w:ascii="SimSun" w:hAnsi="SimSun" w:cs="SimSun" w:hint="eastAsia"/>
          <w:iCs/>
          <w:sz w:val="24"/>
          <w:szCs w:val="24"/>
          <w:lang w:eastAsia="zh-CN"/>
        </w:rPr>
        <w:t>气候变化的联系及其对人类福祉的影响纳入</w:t>
      </w:r>
      <w:r w:rsidR="00D75DFB" w:rsidRPr="00666FAF">
        <w:rPr>
          <w:rFonts w:ascii="SimSun" w:hAnsi="SimSun" w:cs="SimSun" w:hint="eastAsia"/>
          <w:iCs/>
          <w:sz w:val="24"/>
          <w:szCs w:val="24"/>
          <w:lang w:eastAsia="zh-CN"/>
        </w:rPr>
        <w:t>该</w:t>
      </w:r>
      <w:r w:rsidRPr="00666FAF">
        <w:rPr>
          <w:rFonts w:ascii="SimSun" w:hAnsi="SimSun" w:cs="SimSun" w:hint="eastAsia"/>
          <w:iCs/>
          <w:sz w:val="24"/>
          <w:szCs w:val="24"/>
          <w:lang w:eastAsia="zh-CN"/>
        </w:rPr>
        <w:t>平台的所有评估</w:t>
      </w:r>
      <w:r w:rsidR="00666FAF" w:rsidRPr="00666FAF">
        <w:rPr>
          <w:rFonts w:ascii="SimSun" w:hAnsi="SimSun" w:cs="SimSun" w:hint="eastAsia"/>
          <w:iCs/>
          <w:sz w:val="24"/>
          <w:szCs w:val="24"/>
          <w:lang w:eastAsia="zh-CN"/>
        </w:rPr>
        <w:t>，与</w:t>
      </w:r>
      <w:r w:rsidR="00784588" w:rsidRPr="00666FAF">
        <w:rPr>
          <w:rFonts w:ascii="SimSun" w:hAnsi="SimSun" w:cs="SimSun" w:hint="eastAsia"/>
          <w:iCs/>
          <w:sz w:val="24"/>
          <w:szCs w:val="24"/>
          <w:lang w:eastAsia="zh-CN"/>
        </w:rPr>
        <w:t>这些机构</w:t>
      </w:r>
      <w:r w:rsidR="00666FAF" w:rsidRPr="00666FAF">
        <w:rPr>
          <w:rFonts w:ascii="SimSun" w:hAnsi="SimSun" w:cs="SimSun" w:hint="eastAsia"/>
          <w:iCs/>
          <w:sz w:val="24"/>
          <w:szCs w:val="24"/>
          <w:lang w:eastAsia="zh-CN"/>
        </w:rPr>
        <w:t>相关</w:t>
      </w:r>
      <w:r w:rsidR="00784588" w:rsidRPr="00666FAF">
        <w:rPr>
          <w:rFonts w:ascii="SimSun" w:hAnsi="SimSun" w:cs="SimSun" w:hint="eastAsia"/>
          <w:iCs/>
          <w:sz w:val="24"/>
          <w:szCs w:val="24"/>
          <w:lang w:eastAsia="zh-CN"/>
        </w:rPr>
        <w:t>的科学机构之间</w:t>
      </w:r>
      <w:r w:rsidR="00666FAF" w:rsidRPr="00666FAF">
        <w:rPr>
          <w:rFonts w:ascii="SimSun" w:hAnsi="SimSun" w:cs="SimSun" w:hint="eastAsia"/>
          <w:iCs/>
          <w:sz w:val="24"/>
          <w:szCs w:val="24"/>
          <w:lang w:eastAsia="zh-CN"/>
        </w:rPr>
        <w:t>加强合作</w:t>
      </w:r>
      <w:r w:rsidR="00784588" w:rsidRPr="00666FAF">
        <w:rPr>
          <w:rFonts w:ascii="SimSun" w:hAnsi="SimSun" w:cs="SimSun" w:hint="eastAsia"/>
          <w:iCs/>
          <w:sz w:val="24"/>
          <w:szCs w:val="24"/>
          <w:lang w:eastAsia="zh-CN"/>
        </w:rPr>
        <w:t>，都将</w:t>
      </w:r>
      <w:r w:rsidR="00784588" w:rsidRPr="00666FAF">
        <w:rPr>
          <w:rFonts w:ascii="SimSun" w:hAnsi="SimSun" w:cs="SimSun"/>
          <w:iCs/>
          <w:sz w:val="24"/>
          <w:szCs w:val="24"/>
          <w:lang w:eastAsia="zh-CN"/>
        </w:rPr>
        <w:t>对</w:t>
      </w:r>
      <w:r w:rsidR="00784588" w:rsidRPr="00666FAF">
        <w:rPr>
          <w:rFonts w:ascii="SimSun" w:hAnsi="SimSun" w:cs="SimSun" w:hint="eastAsia"/>
          <w:iCs/>
          <w:sz w:val="24"/>
          <w:szCs w:val="24"/>
          <w:lang w:eastAsia="zh-CN"/>
        </w:rPr>
        <w:t>《公约》大有助益；</w:t>
      </w:r>
    </w:p>
    <w:p w14:paraId="742374C0" w14:textId="6BB0AF1B" w:rsidR="000F4977" w:rsidRPr="0031441C" w:rsidRDefault="00D75DFB" w:rsidP="00B854A5">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kern w:val="22"/>
          <w:sz w:val="24"/>
          <w:szCs w:val="24"/>
          <w:lang w:eastAsia="zh-CN"/>
        </w:rPr>
      </w:pPr>
      <w:r>
        <w:rPr>
          <w:rFonts w:ascii="KaiTi" w:eastAsia="KaiTi" w:hAnsi="KaiTi" w:cs="SimSun" w:hint="eastAsia"/>
          <w:iCs/>
          <w:kern w:val="22"/>
          <w:sz w:val="24"/>
          <w:szCs w:val="24"/>
          <w:lang w:eastAsia="zh-CN"/>
        </w:rPr>
        <w:t>确认</w:t>
      </w:r>
      <w:r w:rsidR="000F4977" w:rsidRPr="0031441C">
        <w:rPr>
          <w:rFonts w:ascii="SimSun" w:hAnsi="SimSun" w:cs="SimSun" w:hint="eastAsia"/>
          <w:kern w:val="22"/>
          <w:sz w:val="24"/>
          <w:szCs w:val="24"/>
          <w:lang w:eastAsia="zh-CN"/>
        </w:rPr>
        <w:t>生物多样性和生态系统服务政府间科学政策平台与联合国各机构和多边环境协定开展的其他相关评估活动之间加强合作</w:t>
      </w:r>
      <w:r>
        <w:rPr>
          <w:rFonts w:ascii="SimSun" w:hAnsi="SimSun" w:cs="SimSun" w:hint="eastAsia"/>
          <w:kern w:val="22"/>
          <w:sz w:val="24"/>
          <w:szCs w:val="24"/>
          <w:lang w:eastAsia="zh-CN"/>
        </w:rPr>
        <w:t>对</w:t>
      </w:r>
      <w:r w:rsidR="000F4977" w:rsidRPr="0031441C">
        <w:rPr>
          <w:rFonts w:ascii="SimSun" w:hAnsi="SimSun" w:cs="SimSun" w:hint="eastAsia"/>
          <w:kern w:val="22"/>
          <w:sz w:val="24"/>
          <w:szCs w:val="24"/>
          <w:lang w:eastAsia="zh-CN"/>
        </w:rPr>
        <w:t>《公约》有益，并</w:t>
      </w:r>
      <w:r w:rsidR="000F4977" w:rsidRPr="0031441C">
        <w:rPr>
          <w:rFonts w:ascii="KaiTi" w:eastAsia="KaiTi" w:hAnsi="KaiTi" w:cs="SimSun" w:hint="eastAsia"/>
          <w:iCs/>
          <w:kern w:val="22"/>
          <w:sz w:val="24"/>
          <w:szCs w:val="24"/>
          <w:lang w:eastAsia="zh-CN"/>
        </w:rPr>
        <w:t>邀请</w:t>
      </w:r>
      <w:r w:rsidR="000F4977" w:rsidRPr="0031441C">
        <w:rPr>
          <w:rFonts w:ascii="SimSun" w:hAnsi="SimSun" w:cs="SimSun" w:hint="eastAsia"/>
          <w:kern w:val="22"/>
          <w:sz w:val="24"/>
          <w:szCs w:val="24"/>
          <w:lang w:eastAsia="zh-CN"/>
        </w:rPr>
        <w:t>生物多样性和生态系统服务政府间科学政策平台继续与相关国际组织、包括那些从事与生产部门生物多样性主流化有关活动的组织合作；</w:t>
      </w:r>
    </w:p>
    <w:p w14:paraId="0F42EFF3" w14:textId="35F0985E" w:rsidR="000F4977" w:rsidRPr="0031441C" w:rsidRDefault="000F4977" w:rsidP="00B854A5">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rFonts w:eastAsia="Times New Roman"/>
          <w:iCs/>
          <w:kern w:val="22"/>
          <w:sz w:val="24"/>
          <w:szCs w:val="24"/>
          <w:lang w:eastAsia="zh-CN"/>
        </w:rPr>
      </w:pPr>
      <w:r w:rsidRPr="0031441C">
        <w:rPr>
          <w:rFonts w:ascii="KaiTi" w:eastAsia="KaiTi" w:hAnsi="KaiTi" w:cs="SimSun" w:hint="eastAsia"/>
          <w:iCs/>
          <w:kern w:val="22"/>
          <w:sz w:val="24"/>
          <w:szCs w:val="24"/>
          <w:lang w:eastAsia="zh-CN"/>
        </w:rPr>
        <w:t>邀请</w:t>
      </w:r>
      <w:r w:rsidRPr="0031441C">
        <w:rPr>
          <w:rFonts w:ascii="SimSun" w:hAnsi="SimSun" w:cs="SimSun" w:hint="eastAsia"/>
          <w:iCs/>
          <w:kern w:val="22"/>
          <w:sz w:val="24"/>
          <w:szCs w:val="24"/>
          <w:lang w:eastAsia="zh-CN"/>
        </w:rPr>
        <w:t>生物多样性和生态系统服务政府间科学政策平台考虑</w:t>
      </w:r>
      <w:r w:rsidR="00D75DFB">
        <w:rPr>
          <w:rFonts w:ascii="SimSun" w:hAnsi="SimSun" w:cs="SimSun" w:hint="eastAsia"/>
          <w:iCs/>
          <w:kern w:val="22"/>
          <w:sz w:val="24"/>
          <w:szCs w:val="24"/>
          <w:lang w:eastAsia="zh-CN"/>
        </w:rPr>
        <w:t>将</w:t>
      </w:r>
      <w:r w:rsidRPr="0031441C">
        <w:rPr>
          <w:rFonts w:ascii="SimSun" w:hAnsi="SimSun" w:cs="SimSun" w:hint="eastAsia"/>
          <w:iCs/>
          <w:kern w:val="22"/>
          <w:sz w:val="24"/>
          <w:szCs w:val="24"/>
          <w:lang w:eastAsia="zh-CN"/>
        </w:rPr>
        <w:t>本决定附件所载要求作为其</w:t>
      </w:r>
      <w:r w:rsidR="0032141F">
        <w:rPr>
          <w:rFonts w:ascii="SimSun" w:hAnsi="SimSun" w:cs="SimSun" w:hint="eastAsia"/>
          <w:iCs/>
          <w:kern w:val="22"/>
          <w:sz w:val="24"/>
          <w:szCs w:val="24"/>
          <w:lang w:eastAsia="zh-CN"/>
        </w:rPr>
        <w:t>面向</w:t>
      </w:r>
      <w:r w:rsidRPr="0031441C">
        <w:rPr>
          <w:iCs/>
          <w:kern w:val="22"/>
          <w:sz w:val="24"/>
          <w:szCs w:val="24"/>
          <w:lang w:eastAsia="zh-CN"/>
        </w:rPr>
        <w:t>2030</w:t>
      </w:r>
      <w:r w:rsidRPr="0031441C">
        <w:rPr>
          <w:rFonts w:ascii="SimSun" w:hAnsi="SimSun" w:cs="SimSun" w:hint="eastAsia"/>
          <w:iCs/>
          <w:kern w:val="22"/>
          <w:sz w:val="24"/>
          <w:szCs w:val="24"/>
          <w:lang w:eastAsia="zh-CN"/>
        </w:rPr>
        <w:t>年</w:t>
      </w:r>
      <w:r w:rsidR="00D75DFB">
        <w:rPr>
          <w:rFonts w:ascii="SimSun" w:hAnsi="SimSun" w:cs="SimSun" w:hint="eastAsia"/>
          <w:iCs/>
          <w:kern w:val="22"/>
          <w:sz w:val="24"/>
          <w:szCs w:val="24"/>
          <w:lang w:eastAsia="zh-CN"/>
        </w:rPr>
        <w:t>的</w:t>
      </w:r>
      <w:r w:rsidRPr="0031441C">
        <w:rPr>
          <w:rFonts w:ascii="SimSun" w:hAnsi="SimSun" w:cs="SimSun" w:hint="eastAsia"/>
          <w:iCs/>
          <w:kern w:val="22"/>
          <w:sz w:val="24"/>
          <w:szCs w:val="24"/>
          <w:lang w:eastAsia="zh-CN"/>
        </w:rPr>
        <w:t>战略框架和工作方案的一部分；</w:t>
      </w:r>
    </w:p>
    <w:p w14:paraId="15FBFD0B" w14:textId="19C7AE9E" w:rsidR="000F4977" w:rsidRPr="00D75DFB" w:rsidRDefault="000F4977" w:rsidP="00DD4AD5">
      <w:pPr>
        <w:pStyle w:val="StylePara1HeadingsCSTimesNewRoman"/>
        <w:widowControl w:val="0"/>
        <w:numPr>
          <w:ilvl w:val="0"/>
          <w:numId w:val="35"/>
        </w:numPr>
        <w:suppressLineNumbers/>
        <w:tabs>
          <w:tab w:val="left" w:pos="1440"/>
        </w:tabs>
        <w:suppressAutoHyphens/>
        <w:kinsoku w:val="0"/>
        <w:overflowPunct w:val="0"/>
        <w:autoSpaceDE w:val="0"/>
        <w:autoSpaceDN w:val="0"/>
        <w:adjustRightInd w:val="0"/>
        <w:snapToGrid w:val="0"/>
        <w:ind w:left="0" w:firstLine="720"/>
        <w:rPr>
          <w:rFonts w:eastAsia="Times New Roman"/>
          <w:kern w:val="22"/>
          <w:sz w:val="24"/>
          <w:szCs w:val="24"/>
          <w:lang w:eastAsia="zh-CN"/>
        </w:rPr>
      </w:pPr>
      <w:r w:rsidRPr="00D75DFB">
        <w:rPr>
          <w:rFonts w:ascii="KaiTi" w:eastAsia="KaiTi" w:hAnsi="KaiTi" w:cs="SimSun" w:hint="eastAsia"/>
          <w:iCs/>
          <w:kern w:val="22"/>
          <w:sz w:val="24"/>
          <w:szCs w:val="24"/>
          <w:lang w:eastAsia="zh-CN"/>
        </w:rPr>
        <w:t>又邀请</w:t>
      </w:r>
      <w:r w:rsidRPr="00D75DFB">
        <w:rPr>
          <w:rFonts w:ascii="SimSun" w:hAnsi="SimSun" w:cs="SimSun" w:hint="eastAsia"/>
          <w:iCs/>
          <w:kern w:val="22"/>
          <w:sz w:val="24"/>
          <w:szCs w:val="24"/>
          <w:lang w:eastAsia="zh-CN"/>
        </w:rPr>
        <w:t>生物多样性和生态系统服务政府间科学政策平台，根据</w:t>
      </w:r>
      <w:r w:rsidR="00D75DFB" w:rsidRPr="00D75DFB">
        <w:rPr>
          <w:rFonts w:ascii="SimSun" w:hAnsi="SimSun" w:cs="SimSun" w:hint="eastAsia"/>
          <w:iCs/>
          <w:kern w:val="22"/>
          <w:sz w:val="24"/>
          <w:szCs w:val="24"/>
          <w:lang w:eastAsia="zh-CN"/>
        </w:rPr>
        <w:t>制定</w:t>
      </w:r>
      <w:r w:rsidRPr="00D75DFB">
        <w:rPr>
          <w:iCs/>
          <w:kern w:val="22"/>
          <w:sz w:val="24"/>
          <w:szCs w:val="24"/>
          <w:lang w:eastAsia="zh-CN"/>
        </w:rPr>
        <w:t>2020</w:t>
      </w:r>
      <w:r w:rsidRPr="00D75DFB">
        <w:rPr>
          <w:rFonts w:ascii="SimSun" w:hAnsi="SimSun" w:cs="SimSun" w:hint="eastAsia"/>
          <w:iCs/>
          <w:kern w:val="22"/>
          <w:sz w:val="24"/>
          <w:szCs w:val="24"/>
          <w:lang w:eastAsia="zh-CN"/>
        </w:rPr>
        <w:t>年后全球生物多样性框架的情况，允许为其</w:t>
      </w:r>
      <w:r w:rsidR="0032141F">
        <w:rPr>
          <w:rFonts w:ascii="SimSun" w:hAnsi="SimSun" w:cs="SimSun" w:hint="eastAsia"/>
          <w:iCs/>
          <w:kern w:val="22"/>
          <w:sz w:val="24"/>
          <w:szCs w:val="24"/>
          <w:lang w:eastAsia="zh-CN"/>
        </w:rPr>
        <w:t>面向</w:t>
      </w:r>
      <w:r w:rsidRPr="00D75DFB">
        <w:rPr>
          <w:iCs/>
          <w:kern w:val="22"/>
          <w:sz w:val="24"/>
          <w:szCs w:val="24"/>
          <w:lang w:eastAsia="zh-CN"/>
        </w:rPr>
        <w:t>2030</w:t>
      </w:r>
      <w:r w:rsidRPr="00D75DFB">
        <w:rPr>
          <w:rFonts w:ascii="SimSun" w:hAnsi="SimSun" w:cs="SimSun" w:hint="eastAsia"/>
          <w:iCs/>
          <w:kern w:val="22"/>
          <w:sz w:val="24"/>
          <w:szCs w:val="24"/>
          <w:lang w:eastAsia="zh-CN"/>
        </w:rPr>
        <w:t>年的工作方案提供更多的</w:t>
      </w:r>
      <w:r w:rsidR="009E1D03">
        <w:rPr>
          <w:rFonts w:ascii="SimSun" w:hAnsi="SimSun" w:cs="SimSun" w:hint="eastAsia"/>
          <w:iCs/>
          <w:kern w:val="22"/>
          <w:sz w:val="24"/>
          <w:szCs w:val="24"/>
          <w:lang w:eastAsia="zh-CN"/>
        </w:rPr>
        <w:t>意见</w:t>
      </w:r>
      <w:r w:rsidRPr="00D75DFB">
        <w:rPr>
          <w:rFonts w:ascii="SimSun" w:hAnsi="SimSun" w:cs="SimSun" w:hint="eastAsia"/>
          <w:iCs/>
          <w:kern w:val="22"/>
          <w:sz w:val="24"/>
          <w:szCs w:val="24"/>
          <w:lang w:eastAsia="zh-CN"/>
        </w:rPr>
        <w:t>；</w:t>
      </w:r>
    </w:p>
    <w:p w14:paraId="7F275892" w14:textId="21E289A5" w:rsidR="000F4977" w:rsidRPr="00C41E6F" w:rsidRDefault="000F4977" w:rsidP="00A51381">
      <w:pPr>
        <w:pStyle w:val="StylePara1HeadingsCSTimesNewRoman"/>
        <w:numPr>
          <w:ilvl w:val="0"/>
          <w:numId w:val="35"/>
        </w:numPr>
        <w:suppressLineNumbers/>
        <w:tabs>
          <w:tab w:val="left" w:pos="1440"/>
        </w:tabs>
        <w:suppressAutoHyphens/>
        <w:kinsoku w:val="0"/>
        <w:overflowPunct w:val="0"/>
        <w:autoSpaceDE w:val="0"/>
        <w:autoSpaceDN w:val="0"/>
        <w:adjustRightInd w:val="0"/>
        <w:snapToGrid w:val="0"/>
        <w:ind w:left="0" w:firstLine="720"/>
        <w:rPr>
          <w:rFonts w:eastAsia="Times New Roman"/>
          <w:iCs/>
          <w:kern w:val="22"/>
          <w:sz w:val="24"/>
          <w:szCs w:val="24"/>
          <w:lang w:eastAsia="zh-CN"/>
        </w:rPr>
      </w:pPr>
      <w:r w:rsidRPr="00C41E6F">
        <w:rPr>
          <w:rFonts w:ascii="KaiTi" w:eastAsia="KaiTi" w:hAnsi="KaiTi" w:cs="SimSun" w:hint="eastAsia"/>
          <w:iCs/>
          <w:kern w:val="22"/>
          <w:sz w:val="24"/>
          <w:szCs w:val="24"/>
          <w:lang w:eastAsia="zh-CN"/>
        </w:rPr>
        <w:t>请</w:t>
      </w:r>
      <w:r w:rsidRPr="00C41E6F">
        <w:rPr>
          <w:rFonts w:ascii="SimSun" w:hAnsi="SimSun" w:cs="SimSun" w:hint="eastAsia"/>
          <w:iCs/>
          <w:kern w:val="22"/>
          <w:sz w:val="24"/>
          <w:szCs w:val="24"/>
          <w:lang w:eastAsia="zh-CN"/>
        </w:rPr>
        <w:t>执行秘书编制要求将生物多样性和生态系统服务政府间科学政策平台进一步列入</w:t>
      </w:r>
      <w:r w:rsidR="0032141F">
        <w:rPr>
          <w:rFonts w:ascii="SimSun" w:hAnsi="SimSun" w:cs="SimSun" w:hint="eastAsia"/>
          <w:iCs/>
          <w:kern w:val="22"/>
          <w:sz w:val="24"/>
          <w:szCs w:val="24"/>
          <w:lang w:eastAsia="zh-CN"/>
        </w:rPr>
        <w:t>面向</w:t>
      </w:r>
      <w:r w:rsidRPr="00C41E6F">
        <w:rPr>
          <w:iCs/>
          <w:kern w:val="22"/>
          <w:sz w:val="24"/>
          <w:szCs w:val="24"/>
          <w:lang w:eastAsia="zh-CN"/>
        </w:rPr>
        <w:t>2030</w:t>
      </w:r>
      <w:r w:rsidRPr="00C41E6F">
        <w:rPr>
          <w:rFonts w:ascii="SimSun" w:hAnsi="SimSun" w:cs="SimSun" w:hint="eastAsia"/>
          <w:iCs/>
          <w:kern w:val="22"/>
          <w:sz w:val="24"/>
          <w:szCs w:val="24"/>
          <w:lang w:eastAsia="zh-CN"/>
        </w:rPr>
        <w:t>年工作方案</w:t>
      </w:r>
      <w:r w:rsidR="00A261CF">
        <w:rPr>
          <w:rFonts w:ascii="SimSun" w:hAnsi="SimSun" w:cs="SimSun" w:hint="eastAsia"/>
          <w:iCs/>
          <w:kern w:val="22"/>
          <w:sz w:val="24"/>
          <w:szCs w:val="24"/>
          <w:lang w:eastAsia="zh-CN"/>
        </w:rPr>
        <w:t>以</w:t>
      </w:r>
      <w:r w:rsidR="00A261CF">
        <w:rPr>
          <w:rFonts w:ascii="SimSun" w:hAnsi="SimSun" w:cs="SimSun"/>
          <w:iCs/>
          <w:kern w:val="22"/>
          <w:sz w:val="24"/>
          <w:szCs w:val="24"/>
          <w:lang w:eastAsia="zh-CN"/>
        </w:rPr>
        <w:t>支持执行</w:t>
      </w:r>
      <w:r w:rsidR="00A261CF" w:rsidRPr="00A261CF">
        <w:rPr>
          <w:rFonts w:hint="eastAsia"/>
          <w:iCs/>
          <w:kern w:val="22"/>
          <w:sz w:val="24"/>
          <w:szCs w:val="24"/>
          <w:lang w:eastAsia="zh-CN"/>
        </w:rPr>
        <w:t>2020</w:t>
      </w:r>
      <w:r w:rsidR="00A261CF">
        <w:rPr>
          <w:rFonts w:ascii="SimSun" w:hAnsi="SimSun" w:cs="SimSun" w:hint="eastAsia"/>
          <w:iCs/>
          <w:kern w:val="22"/>
          <w:sz w:val="24"/>
          <w:szCs w:val="24"/>
          <w:lang w:eastAsia="zh-CN"/>
        </w:rPr>
        <w:t>年后</w:t>
      </w:r>
      <w:r w:rsidR="00A261CF">
        <w:rPr>
          <w:rFonts w:ascii="SimSun" w:hAnsi="SimSun" w:cs="SimSun"/>
          <w:iCs/>
          <w:kern w:val="22"/>
          <w:sz w:val="24"/>
          <w:szCs w:val="24"/>
          <w:lang w:eastAsia="zh-CN"/>
        </w:rPr>
        <w:t>全球生物多样性框架</w:t>
      </w:r>
      <w:r w:rsidR="00A261CF" w:rsidRPr="00C41E6F">
        <w:rPr>
          <w:rFonts w:ascii="SimSun" w:hAnsi="SimSun" w:cs="SimSun" w:hint="eastAsia"/>
          <w:iCs/>
          <w:kern w:val="22"/>
          <w:sz w:val="24"/>
          <w:szCs w:val="24"/>
          <w:lang w:eastAsia="zh-CN"/>
        </w:rPr>
        <w:t>的提案，</w:t>
      </w:r>
      <w:r w:rsidRPr="00C41E6F">
        <w:rPr>
          <w:rFonts w:ascii="SimSun" w:hAnsi="SimSun" w:cs="SimSun" w:hint="eastAsia"/>
          <w:iCs/>
          <w:kern w:val="22"/>
          <w:sz w:val="24"/>
          <w:szCs w:val="24"/>
          <w:lang w:eastAsia="zh-CN"/>
        </w:rPr>
        <w:t>供科学、技术和工艺咨询附属机构审议，并供缔约方大会第十五届会议</w:t>
      </w:r>
      <w:r w:rsidR="00E64B18" w:rsidRPr="00C41E6F">
        <w:rPr>
          <w:rFonts w:ascii="SimSun" w:hAnsi="SimSun" w:cs="SimSun" w:hint="eastAsia"/>
          <w:iCs/>
          <w:kern w:val="22"/>
          <w:sz w:val="24"/>
          <w:szCs w:val="24"/>
          <w:lang w:eastAsia="zh-CN"/>
        </w:rPr>
        <w:t>随后</w:t>
      </w:r>
      <w:r w:rsidR="00E64B18" w:rsidRPr="00C41E6F">
        <w:rPr>
          <w:rFonts w:ascii="SimSun" w:hAnsi="SimSun" w:cs="SimSun"/>
          <w:iCs/>
          <w:kern w:val="22"/>
          <w:sz w:val="24"/>
          <w:szCs w:val="24"/>
          <w:lang w:eastAsia="zh-CN"/>
        </w:rPr>
        <w:t>进行</w:t>
      </w:r>
      <w:r w:rsidRPr="00C41E6F">
        <w:rPr>
          <w:rFonts w:ascii="SimSun" w:hAnsi="SimSun" w:cs="SimSun" w:hint="eastAsia"/>
          <w:iCs/>
          <w:kern w:val="22"/>
          <w:sz w:val="24"/>
          <w:szCs w:val="24"/>
          <w:lang w:eastAsia="zh-CN"/>
        </w:rPr>
        <w:t>审议</w:t>
      </w:r>
      <w:r w:rsidR="00A261CF">
        <w:rPr>
          <w:rFonts w:ascii="SimSun" w:hAnsi="SimSun" w:cs="SimSun" w:hint="eastAsia"/>
          <w:iCs/>
          <w:kern w:val="22"/>
          <w:sz w:val="24"/>
          <w:szCs w:val="24"/>
          <w:lang w:eastAsia="zh-CN"/>
        </w:rPr>
        <w:t>；</w:t>
      </w:r>
    </w:p>
    <w:p w14:paraId="237DE77B" w14:textId="350FF805" w:rsidR="000F4977" w:rsidRPr="0031441C" w:rsidRDefault="000F4977" w:rsidP="00B854A5">
      <w:pPr>
        <w:pStyle w:val="StylePara1HeadingsCSTimesNewRoman"/>
        <w:widowControl w:val="0"/>
        <w:numPr>
          <w:ilvl w:val="0"/>
          <w:numId w:val="35"/>
        </w:numPr>
        <w:suppressLineNumbers/>
        <w:tabs>
          <w:tab w:val="left" w:pos="1440"/>
        </w:tabs>
        <w:suppressAutoHyphens/>
        <w:kinsoku w:val="0"/>
        <w:overflowPunct w:val="0"/>
        <w:autoSpaceDE w:val="0"/>
        <w:autoSpaceDN w:val="0"/>
        <w:adjustRightInd w:val="0"/>
        <w:snapToGrid w:val="0"/>
        <w:ind w:left="0" w:firstLine="720"/>
        <w:rPr>
          <w:rFonts w:ascii="SimSun" w:eastAsia="Times New Roman" w:hAnsi="SimSun" w:cs="SimSun"/>
          <w:kern w:val="22"/>
          <w:sz w:val="24"/>
          <w:szCs w:val="24"/>
          <w:lang w:eastAsia="zh-CN"/>
        </w:rPr>
      </w:pPr>
      <w:r w:rsidRPr="008148BA">
        <w:rPr>
          <w:rFonts w:ascii="KaiTi" w:eastAsia="KaiTi" w:hAnsi="KaiTi" w:cs="SimSun" w:hint="eastAsia"/>
          <w:iCs/>
          <w:kern w:val="22"/>
          <w:sz w:val="24"/>
          <w:szCs w:val="24"/>
          <w:lang w:eastAsia="zh-CN"/>
        </w:rPr>
        <w:t>又请</w:t>
      </w:r>
      <w:r w:rsidRPr="0031441C">
        <w:rPr>
          <w:rFonts w:ascii="SimSun" w:hAnsi="SimSun" w:cs="SimSun" w:hint="eastAsia"/>
          <w:kern w:val="22"/>
          <w:sz w:val="24"/>
          <w:szCs w:val="24"/>
          <w:lang w:eastAsia="zh-CN"/>
        </w:rPr>
        <w:t>执行秘书根据</w:t>
      </w:r>
      <w:r w:rsidRPr="0031441C">
        <w:rPr>
          <w:kern w:val="22"/>
          <w:sz w:val="24"/>
          <w:szCs w:val="24"/>
          <w:lang w:eastAsia="zh-CN"/>
        </w:rPr>
        <w:t>XII/25</w:t>
      </w:r>
      <w:r w:rsidRPr="0031441C">
        <w:rPr>
          <w:rFonts w:ascii="SimSun" w:hAnsi="SimSun" w:cs="SimSun" w:hint="eastAsia"/>
          <w:kern w:val="22"/>
          <w:sz w:val="24"/>
          <w:szCs w:val="24"/>
          <w:lang w:eastAsia="zh-CN"/>
        </w:rPr>
        <w:t>号决定</w:t>
      </w:r>
      <w:r>
        <w:rPr>
          <w:rFonts w:ascii="SimSun" w:hAnsi="SimSun" w:cs="SimSun" w:hint="eastAsia"/>
          <w:kern w:val="22"/>
          <w:sz w:val="24"/>
          <w:szCs w:val="24"/>
          <w:lang w:eastAsia="zh-CN"/>
        </w:rPr>
        <w:t>，并</w:t>
      </w:r>
      <w:r>
        <w:rPr>
          <w:rFonts w:ascii="SimSun" w:hAnsi="SimSun" w:cs="SimSun"/>
          <w:kern w:val="22"/>
          <w:sz w:val="24"/>
          <w:szCs w:val="24"/>
          <w:lang w:eastAsia="zh-CN"/>
        </w:rPr>
        <w:t>在顾及</w:t>
      </w:r>
      <w:r w:rsidRPr="0031441C">
        <w:rPr>
          <w:rFonts w:ascii="SimSun" w:hAnsi="SimSun" w:cs="SimSun" w:hint="eastAsia"/>
          <w:kern w:val="22"/>
          <w:sz w:val="24"/>
          <w:szCs w:val="24"/>
          <w:lang w:eastAsia="zh-CN"/>
        </w:rPr>
        <w:t>生物多样性和生态系统服务政府间科学政策平台</w:t>
      </w:r>
      <w:r>
        <w:rPr>
          <w:rFonts w:ascii="SimSun" w:hAnsi="SimSun" w:cs="SimSun" w:hint="eastAsia"/>
          <w:kern w:val="22"/>
          <w:sz w:val="24"/>
          <w:szCs w:val="24"/>
          <w:lang w:eastAsia="zh-CN"/>
        </w:rPr>
        <w:t>审查结果的</w:t>
      </w:r>
      <w:r>
        <w:rPr>
          <w:rFonts w:ascii="SimSun" w:hAnsi="SimSun" w:cs="SimSun"/>
          <w:kern w:val="22"/>
          <w:sz w:val="24"/>
          <w:szCs w:val="24"/>
          <w:lang w:eastAsia="zh-CN"/>
        </w:rPr>
        <w:t>情况下</w:t>
      </w:r>
      <w:r>
        <w:rPr>
          <w:rFonts w:ascii="SimSun" w:hAnsi="SimSun" w:cs="SimSun" w:hint="eastAsia"/>
          <w:kern w:val="22"/>
          <w:sz w:val="24"/>
          <w:szCs w:val="24"/>
          <w:lang w:eastAsia="zh-CN"/>
        </w:rPr>
        <w:t>，</w:t>
      </w:r>
      <w:r w:rsidRPr="000F4977">
        <w:rPr>
          <w:rStyle w:val="FootnoteReference"/>
          <w:kern w:val="22"/>
          <w:sz w:val="24"/>
          <w:szCs w:val="24"/>
          <w:u w:val="none"/>
          <w:vertAlign w:val="superscript"/>
          <w:lang w:eastAsia="zh-CN"/>
        </w:rPr>
        <w:footnoteReference w:id="3"/>
      </w:r>
      <w:r w:rsidRPr="008148BA">
        <w:rPr>
          <w:kern w:val="22"/>
          <w:sz w:val="24"/>
          <w:szCs w:val="24"/>
          <w:lang w:eastAsia="zh-CN"/>
        </w:rPr>
        <w:t xml:space="preserve"> </w:t>
      </w:r>
      <w:r w:rsidRPr="0031441C">
        <w:rPr>
          <w:rFonts w:ascii="SimSun" w:hAnsi="SimSun" w:cs="SimSun" w:hint="eastAsia"/>
          <w:kern w:val="22"/>
          <w:sz w:val="24"/>
          <w:szCs w:val="24"/>
          <w:lang w:eastAsia="zh-CN"/>
        </w:rPr>
        <w:t>制定系统地审议生物多样性和生态系统服务政府间科学政策平台所有可交付成果的方法，以期优化</w:t>
      </w:r>
      <w:r w:rsidR="00A261CF">
        <w:rPr>
          <w:rFonts w:ascii="SimSun" w:hAnsi="SimSun" w:cs="SimSun" w:hint="eastAsia"/>
          <w:kern w:val="22"/>
          <w:sz w:val="24"/>
          <w:szCs w:val="24"/>
          <w:lang w:eastAsia="zh-CN"/>
        </w:rPr>
        <w:t>使用</w:t>
      </w:r>
      <w:r w:rsidR="00A261CF">
        <w:rPr>
          <w:rFonts w:ascii="SimSun" w:hAnsi="SimSun" w:cs="SimSun"/>
          <w:kern w:val="22"/>
          <w:sz w:val="24"/>
          <w:szCs w:val="24"/>
          <w:lang w:eastAsia="zh-CN"/>
        </w:rPr>
        <w:t>这些方法</w:t>
      </w:r>
      <w:r w:rsidRPr="0031441C">
        <w:rPr>
          <w:rFonts w:ascii="SimSun" w:hAnsi="SimSun" w:cs="SimSun" w:hint="eastAsia"/>
          <w:kern w:val="22"/>
          <w:sz w:val="24"/>
          <w:szCs w:val="24"/>
          <w:lang w:eastAsia="zh-CN"/>
        </w:rPr>
        <w:t>支持</w:t>
      </w:r>
      <w:r w:rsidR="00A261CF">
        <w:rPr>
          <w:rFonts w:ascii="SimSun" w:hAnsi="SimSun" w:cs="SimSun" w:hint="eastAsia"/>
          <w:kern w:val="22"/>
          <w:sz w:val="24"/>
          <w:szCs w:val="24"/>
          <w:lang w:eastAsia="zh-CN"/>
        </w:rPr>
        <w:t>执行</w:t>
      </w:r>
      <w:r w:rsidRPr="0031441C">
        <w:rPr>
          <w:rFonts w:ascii="SimSun" w:hAnsi="SimSun" w:cs="SimSun" w:hint="eastAsia"/>
          <w:kern w:val="22"/>
          <w:sz w:val="24"/>
          <w:szCs w:val="24"/>
          <w:lang w:eastAsia="zh-CN"/>
        </w:rPr>
        <w:t>《公约》，并向在缔约方大会第十五届会议之前举行的一次科学、技术和工艺咨询附属机构会议提出报告。</w:t>
      </w:r>
    </w:p>
    <w:p w14:paraId="302618B3" w14:textId="77777777" w:rsidR="000F4977" w:rsidRPr="00BE1186" w:rsidRDefault="000F4977" w:rsidP="003C6E80">
      <w:pPr>
        <w:pStyle w:val="bodytextnoindent"/>
        <w:ind w:firstLine="0"/>
        <w:jc w:val="center"/>
        <w:rPr>
          <w:rFonts w:ascii="KaiTi" w:eastAsia="KaiTi" w:hAnsi="KaiTi"/>
          <w:sz w:val="24"/>
          <w:lang w:bidi="th-TH"/>
        </w:rPr>
      </w:pPr>
      <w:r w:rsidRPr="00BE1186">
        <w:rPr>
          <w:rFonts w:ascii="KaiTi" w:eastAsia="KaiTi" w:hAnsi="KaiTi" w:hint="eastAsia"/>
          <w:sz w:val="24"/>
          <w:lang w:bidi="th-TH"/>
        </w:rPr>
        <w:t>附件</w:t>
      </w:r>
    </w:p>
    <w:p w14:paraId="408E5BA7" w14:textId="01B4A957" w:rsidR="000F4977" w:rsidRDefault="000F4977" w:rsidP="003C6E80">
      <w:pPr>
        <w:pStyle w:val="bodytextnoindent"/>
        <w:ind w:left="1440" w:right="1542" w:firstLine="0"/>
        <w:jc w:val="center"/>
        <w:rPr>
          <w:rFonts w:ascii="SimSun" w:hAnsi="SimSun" w:cs="SimSun"/>
          <w:b/>
          <w:sz w:val="24"/>
        </w:rPr>
      </w:pPr>
      <w:r w:rsidRPr="0031441C">
        <w:rPr>
          <w:rFonts w:ascii="SimSun" w:hAnsi="SimSun"/>
          <w:b/>
          <w:sz w:val="24"/>
          <w:lang w:bidi="th-TH"/>
        </w:rPr>
        <w:t>生</w:t>
      </w:r>
      <w:r w:rsidRPr="0031441C">
        <w:rPr>
          <w:rFonts w:ascii="SimSun" w:hAnsi="SimSun" w:cs="SimSun" w:hint="eastAsia"/>
          <w:b/>
          <w:sz w:val="24"/>
        </w:rPr>
        <w:t>物多样性和生态系统服务政府间科学政策平台</w:t>
      </w:r>
      <w:r w:rsidR="00FC5C15">
        <w:rPr>
          <w:rFonts w:ascii="SimSun" w:hAnsi="SimSun" w:cs="SimSun" w:hint="eastAsia"/>
          <w:b/>
          <w:sz w:val="24"/>
        </w:rPr>
        <w:t>需</w:t>
      </w:r>
      <w:r w:rsidRPr="0031441C">
        <w:rPr>
          <w:rFonts w:ascii="SimSun" w:hAnsi="SimSun" w:cs="SimSun" w:hint="eastAsia"/>
          <w:b/>
          <w:sz w:val="24"/>
        </w:rPr>
        <w:t>就其</w:t>
      </w:r>
      <w:r w:rsidR="00FC5C15">
        <w:rPr>
          <w:rFonts w:ascii="SimSun" w:hAnsi="SimSun" w:cs="SimSun" w:hint="eastAsia"/>
          <w:b/>
          <w:sz w:val="24"/>
        </w:rPr>
        <w:t>战略框架</w:t>
      </w:r>
      <w:r w:rsidR="00FC5C15">
        <w:rPr>
          <w:rFonts w:ascii="SimSun" w:hAnsi="SimSun" w:cs="SimSun"/>
          <w:b/>
          <w:sz w:val="24"/>
        </w:rPr>
        <w:t>和</w:t>
      </w:r>
      <w:r w:rsidR="0032141F">
        <w:rPr>
          <w:rFonts w:ascii="SimSun" w:hAnsi="SimSun" w:cs="SimSun" w:hint="eastAsia"/>
          <w:b/>
          <w:sz w:val="24"/>
        </w:rPr>
        <w:t>面向</w:t>
      </w:r>
      <w:r w:rsidRPr="0031441C">
        <w:rPr>
          <w:b/>
          <w:sz w:val="24"/>
          <w:lang w:bidi="th-TH"/>
        </w:rPr>
        <w:t>2030</w:t>
      </w:r>
      <w:r w:rsidRPr="00BE1186">
        <w:rPr>
          <w:rFonts w:ascii="SimSun" w:hAnsi="SimSun"/>
          <w:b/>
          <w:sz w:val="24"/>
          <w:lang w:bidi="th-TH"/>
        </w:rPr>
        <w:t>年</w:t>
      </w:r>
      <w:r w:rsidR="00FC5C15">
        <w:rPr>
          <w:rFonts w:ascii="SimSun" w:hAnsi="SimSun" w:hint="eastAsia"/>
          <w:b/>
          <w:sz w:val="24"/>
          <w:lang w:bidi="th-TH"/>
        </w:rPr>
        <w:t>的</w:t>
      </w:r>
      <w:r w:rsidRPr="00BE1186">
        <w:rPr>
          <w:rFonts w:ascii="SimSun" w:hAnsi="SimSun" w:cs="SimSun" w:hint="eastAsia"/>
          <w:b/>
          <w:sz w:val="24"/>
        </w:rPr>
        <w:t>工作方案</w:t>
      </w:r>
      <w:r w:rsidR="00FC5C15">
        <w:rPr>
          <w:rFonts w:ascii="SimSun" w:hAnsi="SimSun" w:cs="SimSun" w:hint="eastAsia"/>
          <w:b/>
          <w:sz w:val="24"/>
        </w:rPr>
        <w:t>进行</w:t>
      </w:r>
      <w:r w:rsidRPr="00BE1186">
        <w:rPr>
          <w:rFonts w:ascii="SimSun" w:hAnsi="SimSun" w:cs="SimSun" w:hint="eastAsia"/>
          <w:b/>
          <w:sz w:val="24"/>
        </w:rPr>
        <w:t>审议的</w:t>
      </w:r>
      <w:r w:rsidR="00FC5C15">
        <w:rPr>
          <w:rFonts w:ascii="SimSun" w:hAnsi="SimSun" w:cs="SimSun" w:hint="eastAsia"/>
          <w:b/>
          <w:sz w:val="24"/>
        </w:rPr>
        <w:t>要求</w:t>
      </w:r>
    </w:p>
    <w:p w14:paraId="305EDA3B" w14:textId="4CB235AD" w:rsidR="000F4977" w:rsidRPr="0059416B" w:rsidRDefault="000F4977" w:rsidP="000215ED">
      <w:pPr>
        <w:pStyle w:val="Para1"/>
        <w:numPr>
          <w:ilvl w:val="0"/>
          <w:numId w:val="38"/>
        </w:numPr>
        <w:suppressLineNumbers/>
        <w:tabs>
          <w:tab w:val="clear" w:pos="360"/>
          <w:tab w:val="num" w:pos="720"/>
        </w:tabs>
        <w:suppressAutoHyphens/>
        <w:kinsoku w:val="0"/>
        <w:overflowPunct w:val="0"/>
        <w:autoSpaceDE w:val="0"/>
        <w:autoSpaceDN w:val="0"/>
        <w:adjustRightInd w:val="0"/>
        <w:snapToGrid w:val="0"/>
        <w:rPr>
          <w:sz w:val="24"/>
          <w:lang w:eastAsia="zh-CN" w:bidi="th-TH"/>
        </w:rPr>
      </w:pPr>
      <w:r w:rsidRPr="0059416B">
        <w:rPr>
          <w:rFonts w:ascii="SimSun" w:hAnsi="SimSun" w:cs="SimSun" w:hint="eastAsia"/>
          <w:sz w:val="24"/>
          <w:lang w:eastAsia="zh-CN"/>
        </w:rPr>
        <w:t>请生物多样性和生态系统服务政府间科学政策平台在制定其</w:t>
      </w:r>
      <w:r w:rsidR="000215ED">
        <w:rPr>
          <w:rFonts w:ascii="SimSun" w:hAnsi="SimSun" w:cs="SimSun" w:hint="eastAsia"/>
          <w:sz w:val="24"/>
          <w:lang w:eastAsia="zh-CN"/>
        </w:rPr>
        <w:t>战略框架</w:t>
      </w:r>
      <w:r w:rsidR="000215ED">
        <w:rPr>
          <w:rFonts w:ascii="SimSun" w:hAnsi="SimSun" w:cs="SimSun"/>
          <w:sz w:val="24"/>
          <w:lang w:eastAsia="zh-CN"/>
        </w:rPr>
        <w:t>和</w:t>
      </w:r>
      <w:r w:rsidR="0032141F">
        <w:rPr>
          <w:rFonts w:ascii="SimSun" w:hAnsi="SimSun" w:cs="SimSun" w:hint="eastAsia"/>
          <w:sz w:val="24"/>
          <w:lang w:eastAsia="zh-CN"/>
        </w:rPr>
        <w:t>面向</w:t>
      </w:r>
      <w:r w:rsidRPr="0059416B">
        <w:rPr>
          <w:sz w:val="24"/>
          <w:lang w:eastAsia="zh-CN" w:bidi="th-TH"/>
        </w:rPr>
        <w:t>2030</w:t>
      </w:r>
      <w:r w:rsidRPr="0059416B">
        <w:rPr>
          <w:rFonts w:ascii="SimSun" w:hAnsi="SimSun" w:cs="SimSun" w:hint="eastAsia"/>
          <w:sz w:val="24"/>
          <w:lang w:eastAsia="zh-CN"/>
        </w:rPr>
        <w:t>年的工作方案时考虑以下几点：</w:t>
      </w:r>
    </w:p>
    <w:p w14:paraId="41E6C4A1" w14:textId="58DE64CD" w:rsidR="000F4977" w:rsidRPr="0059416B"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执行第</w:t>
      </w:r>
      <w:r w:rsidRPr="0031441C">
        <w:rPr>
          <w:sz w:val="24"/>
          <w:szCs w:val="24"/>
          <w:lang w:eastAsia="zh-CN" w:bidi="th-TH"/>
        </w:rPr>
        <w:t>XII/1</w:t>
      </w:r>
      <w:r w:rsidRPr="0059416B">
        <w:rPr>
          <w:rFonts w:ascii="SimSun" w:hAnsi="SimSun" w:cs="SimSun" w:hint="eastAsia"/>
          <w:sz w:val="24"/>
          <w:szCs w:val="24"/>
          <w:lang w:eastAsia="zh-CN"/>
        </w:rPr>
        <w:t>号决定核准的《</w:t>
      </w:r>
      <w:r w:rsidRPr="0031441C">
        <w:rPr>
          <w:sz w:val="24"/>
          <w:szCs w:val="24"/>
          <w:lang w:eastAsia="zh-CN" w:bidi="th-TH"/>
        </w:rPr>
        <w:t>2011</w:t>
      </w:r>
      <w:r w:rsidRPr="0059416B">
        <w:rPr>
          <w:sz w:val="24"/>
          <w:szCs w:val="24"/>
          <w:lang w:eastAsia="zh-CN" w:bidi="th-TH"/>
        </w:rPr>
        <w:t>-</w:t>
      </w:r>
      <w:r w:rsidRPr="0031441C">
        <w:rPr>
          <w:sz w:val="24"/>
          <w:szCs w:val="24"/>
          <w:lang w:eastAsia="zh-CN" w:bidi="th-TH"/>
        </w:rPr>
        <w:t>2020</w:t>
      </w:r>
      <w:r w:rsidRPr="0059416B">
        <w:rPr>
          <w:rFonts w:ascii="SimSun" w:hAnsi="SimSun" w:cs="SimSun" w:hint="eastAsia"/>
          <w:sz w:val="24"/>
          <w:szCs w:val="24"/>
          <w:lang w:eastAsia="zh-CN"/>
        </w:rPr>
        <w:t>年生物多样性战略计划》的重要科学技术需求仍然有效，因此</w:t>
      </w:r>
      <w:r w:rsidR="000215ED">
        <w:rPr>
          <w:rFonts w:ascii="SimSun" w:hAnsi="SimSun" w:cs="SimSun" w:hint="eastAsia"/>
          <w:sz w:val="24"/>
          <w:szCs w:val="24"/>
          <w:lang w:eastAsia="zh-CN"/>
        </w:rPr>
        <w:t>，</w:t>
      </w:r>
      <w:r w:rsidRPr="0059416B">
        <w:rPr>
          <w:rFonts w:ascii="SimSun" w:hAnsi="SimSun" w:cs="SimSun" w:hint="eastAsia"/>
          <w:sz w:val="24"/>
          <w:szCs w:val="24"/>
          <w:lang w:eastAsia="zh-CN"/>
        </w:rPr>
        <w:t>在设计和交付平台所有四项职能的未来活动时应继续予以考虑；</w:t>
      </w:r>
    </w:p>
    <w:p w14:paraId="4D121AFF" w14:textId="77777777" w:rsidR="000F4977" w:rsidRPr="00FF2FE9"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应仔细考虑未来全球评估的范围和时机，包括考虑整合区域和全球组成部分的单一评估，也包括区域组成部分的资源需求，以满足</w:t>
      </w:r>
      <w:r w:rsidRPr="0031441C">
        <w:rPr>
          <w:sz w:val="24"/>
          <w:szCs w:val="24"/>
          <w:lang w:eastAsia="zh-CN" w:bidi="th-TH"/>
        </w:rPr>
        <w:t>2020</w:t>
      </w:r>
      <w:r w:rsidRPr="0059416B">
        <w:rPr>
          <w:rFonts w:ascii="SimSun" w:hAnsi="SimSun" w:cs="SimSun" w:hint="eastAsia"/>
          <w:sz w:val="24"/>
          <w:szCs w:val="24"/>
          <w:lang w:eastAsia="zh-CN"/>
        </w:rPr>
        <w:t>年后全球生物多样性框架以及《</w:t>
      </w:r>
      <w:r w:rsidRPr="0031441C">
        <w:rPr>
          <w:sz w:val="24"/>
          <w:szCs w:val="24"/>
          <w:lang w:eastAsia="zh-CN" w:bidi="th-TH"/>
        </w:rPr>
        <w:t>2030</w:t>
      </w:r>
      <w:r w:rsidRPr="0059416B">
        <w:rPr>
          <w:rFonts w:ascii="SimSun" w:hAnsi="SimSun" w:cs="SimSun" w:hint="eastAsia"/>
          <w:sz w:val="24"/>
          <w:szCs w:val="24"/>
          <w:lang w:eastAsia="zh-CN"/>
        </w:rPr>
        <w:t>年可持续发展议程》产生有关生物多样性和生态系统服务的评估需求。应该尽力减少</w:t>
      </w:r>
      <w:r w:rsidRPr="0059416B">
        <w:rPr>
          <w:rFonts w:ascii="SimSun" w:hAnsi="SimSun" w:cs="SimSun" w:hint="eastAsia"/>
          <w:sz w:val="24"/>
          <w:szCs w:val="24"/>
          <w:lang w:eastAsia="zh-CN"/>
        </w:rPr>
        <w:lastRenderedPageBreak/>
        <w:t>与其他活动、分析和评估，包括未来可能的各期《全球生物多样性展望》的重叠，最大限度地发挥协同增效作用；</w:t>
      </w:r>
    </w:p>
    <w:p w14:paraId="4AA27F8E" w14:textId="33665B80" w:rsidR="000F4977" w:rsidRPr="0059416B" w:rsidRDefault="000F4977" w:rsidP="00B854A5">
      <w:pPr>
        <w:pStyle w:val="Para1"/>
        <w:numPr>
          <w:ilvl w:val="1"/>
          <w:numId w:val="37"/>
        </w:numPr>
        <w:tabs>
          <w:tab w:val="left" w:pos="1440"/>
        </w:tabs>
        <w:snapToGrid w:val="0"/>
        <w:rPr>
          <w:sz w:val="24"/>
          <w:szCs w:val="24"/>
          <w:lang w:eastAsia="zh-CN" w:bidi="th-TH"/>
        </w:rPr>
      </w:pPr>
      <w:r>
        <w:rPr>
          <w:rFonts w:ascii="SimSun" w:hAnsi="SimSun" w:cs="SimSun" w:hint="eastAsia"/>
          <w:sz w:val="24"/>
          <w:szCs w:val="24"/>
          <w:lang w:eastAsia="zh-CN"/>
        </w:rPr>
        <w:t>在其战略框架和在执行</w:t>
      </w:r>
      <w:r w:rsidR="0032141F">
        <w:rPr>
          <w:rFonts w:ascii="SimSun" w:hAnsi="SimSun" w:cs="SimSun" w:hint="eastAsia"/>
          <w:sz w:val="24"/>
          <w:szCs w:val="24"/>
          <w:lang w:eastAsia="zh-CN"/>
        </w:rPr>
        <w:t>面向</w:t>
      </w:r>
      <w:r w:rsidRPr="00CB4882">
        <w:rPr>
          <w:sz w:val="24"/>
          <w:szCs w:val="24"/>
          <w:lang w:eastAsia="zh-CN"/>
        </w:rPr>
        <w:t>2030</w:t>
      </w:r>
      <w:r>
        <w:rPr>
          <w:rFonts w:ascii="SimSun" w:hAnsi="SimSun" w:cs="SimSun" w:hint="eastAsia"/>
          <w:sz w:val="24"/>
          <w:szCs w:val="24"/>
          <w:lang w:eastAsia="zh-CN"/>
        </w:rPr>
        <w:t>年的工作方案中需要纳入两性平等和妇女赋权的观点；</w:t>
      </w:r>
    </w:p>
    <w:p w14:paraId="57043909" w14:textId="24BC8C3C" w:rsidR="000F4977" w:rsidRPr="0059416B"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强烈需要进一步加强与政府间气候变化专门委员会的合作，以期促进</w:t>
      </w:r>
      <w:r w:rsidR="000215ED">
        <w:rPr>
          <w:rFonts w:ascii="SimSun" w:hAnsi="SimSun" w:cs="SimSun" w:hint="eastAsia"/>
          <w:sz w:val="24"/>
          <w:szCs w:val="24"/>
          <w:lang w:eastAsia="zh-CN"/>
        </w:rPr>
        <w:t>情景与</w:t>
      </w:r>
      <w:r w:rsidRPr="0059416B">
        <w:rPr>
          <w:rFonts w:ascii="SimSun" w:hAnsi="SimSun" w:cs="SimSun" w:hint="eastAsia"/>
          <w:sz w:val="24"/>
          <w:szCs w:val="24"/>
          <w:lang w:eastAsia="zh-CN"/>
        </w:rPr>
        <w:t>根据生物多样性和气候变化情况编制的相关评估之间的连贯一致性，包括考虑开展联合评估活动，并促进与这些机构</w:t>
      </w:r>
      <w:r w:rsidR="000215ED">
        <w:rPr>
          <w:rFonts w:ascii="SimSun" w:hAnsi="SimSun" w:cs="SimSun" w:hint="eastAsia"/>
          <w:sz w:val="24"/>
          <w:szCs w:val="24"/>
          <w:lang w:eastAsia="zh-CN"/>
        </w:rPr>
        <w:t>相关</w:t>
      </w:r>
      <w:r w:rsidRPr="0059416B">
        <w:rPr>
          <w:rFonts w:ascii="SimSun" w:hAnsi="SimSun" w:cs="SimSun" w:hint="eastAsia"/>
          <w:sz w:val="24"/>
          <w:szCs w:val="24"/>
          <w:lang w:eastAsia="zh-CN"/>
        </w:rPr>
        <w:t>的科学界之间进一步加强合作；</w:t>
      </w:r>
    </w:p>
    <w:p w14:paraId="580CEEED" w14:textId="303B184D" w:rsidR="000F4977" w:rsidRPr="0059416B"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仍然需要开展</w:t>
      </w:r>
      <w:r w:rsidR="000215ED">
        <w:rPr>
          <w:rFonts w:ascii="SimSun" w:hAnsi="SimSun" w:cs="SimSun" w:hint="eastAsia"/>
          <w:sz w:val="24"/>
          <w:szCs w:val="24"/>
          <w:lang w:eastAsia="zh-CN"/>
        </w:rPr>
        <w:t>情景</w:t>
      </w:r>
      <w:r w:rsidRPr="0059416B">
        <w:rPr>
          <w:rFonts w:ascii="SimSun" w:hAnsi="SimSun" w:cs="SimSun" w:hint="eastAsia"/>
          <w:sz w:val="24"/>
          <w:szCs w:val="24"/>
          <w:lang w:eastAsia="zh-CN"/>
        </w:rPr>
        <w:t>和模型工作，</w:t>
      </w:r>
      <w:r w:rsidR="007E560C">
        <w:rPr>
          <w:rFonts w:ascii="SimSun" w:hAnsi="SimSun" w:cs="SimSun" w:hint="eastAsia"/>
          <w:sz w:val="24"/>
          <w:szCs w:val="24"/>
          <w:lang w:eastAsia="zh-CN"/>
        </w:rPr>
        <w:t>以便</w:t>
      </w:r>
      <w:r w:rsidRPr="0059416B">
        <w:rPr>
          <w:rFonts w:ascii="SimSun" w:hAnsi="SimSun" w:cs="SimSun" w:hint="eastAsia"/>
          <w:sz w:val="24"/>
          <w:szCs w:val="24"/>
          <w:lang w:eastAsia="zh-CN"/>
        </w:rPr>
        <w:t>评估走向可持续未来的路径</w:t>
      </w:r>
      <w:r w:rsidR="007E560C">
        <w:rPr>
          <w:rFonts w:ascii="SimSun" w:hAnsi="SimSun" w:cs="SimSun" w:hint="eastAsia"/>
          <w:sz w:val="24"/>
          <w:szCs w:val="24"/>
          <w:lang w:eastAsia="zh-CN"/>
        </w:rPr>
        <w:t>和</w:t>
      </w:r>
      <w:r w:rsidR="007E560C">
        <w:rPr>
          <w:rFonts w:ascii="SimSun" w:hAnsi="SimSun" w:cs="SimSun"/>
          <w:sz w:val="24"/>
          <w:szCs w:val="24"/>
          <w:lang w:eastAsia="zh-CN"/>
        </w:rPr>
        <w:t>所需要的</w:t>
      </w:r>
      <w:r w:rsidRPr="0059416B">
        <w:rPr>
          <w:rFonts w:ascii="SimSun" w:hAnsi="SimSun" w:cs="SimSun" w:hint="eastAsia"/>
          <w:sz w:val="24"/>
          <w:szCs w:val="24"/>
          <w:lang w:eastAsia="zh-CN"/>
        </w:rPr>
        <w:t>转型变革；</w:t>
      </w:r>
      <w:r>
        <w:rPr>
          <w:rFonts w:ascii="SimSun" w:hAnsi="SimSun" w:cs="SimSun"/>
          <w:sz w:val="24"/>
          <w:szCs w:val="24"/>
          <w:lang w:val="en-US" w:eastAsia="zh-CN"/>
        </w:rPr>
        <w:t xml:space="preserve">  </w:t>
      </w:r>
    </w:p>
    <w:p w14:paraId="0336E014" w14:textId="30FD7136" w:rsidR="000F4977" w:rsidRPr="0059416B"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生物多样性和生态系统服务政府间科学政策平台为进一步</w:t>
      </w:r>
      <w:r w:rsidR="00506926">
        <w:rPr>
          <w:rFonts w:ascii="SimSun" w:hAnsi="SimSun" w:cs="SimSun" w:hint="eastAsia"/>
          <w:sz w:val="24"/>
          <w:szCs w:val="24"/>
          <w:lang w:eastAsia="zh-CN"/>
        </w:rPr>
        <w:t>整合</w:t>
      </w:r>
      <w:r w:rsidRPr="0059416B">
        <w:rPr>
          <w:rFonts w:ascii="SimSun" w:hAnsi="SimSun" w:cs="SimSun" w:hint="eastAsia"/>
          <w:sz w:val="24"/>
          <w:szCs w:val="24"/>
          <w:lang w:eastAsia="zh-CN"/>
        </w:rPr>
        <w:t>平台</w:t>
      </w:r>
      <w:r w:rsidR="00506926">
        <w:rPr>
          <w:rFonts w:ascii="SimSun" w:hAnsi="SimSun" w:cs="SimSun" w:hint="eastAsia"/>
          <w:sz w:val="24"/>
          <w:szCs w:val="24"/>
          <w:lang w:eastAsia="zh-CN"/>
        </w:rPr>
        <w:t>四项</w:t>
      </w:r>
      <w:r w:rsidRPr="0059416B">
        <w:rPr>
          <w:rFonts w:ascii="SimSun" w:hAnsi="SimSun" w:cs="SimSun" w:hint="eastAsia"/>
          <w:sz w:val="24"/>
          <w:szCs w:val="24"/>
          <w:lang w:eastAsia="zh-CN"/>
        </w:rPr>
        <w:t>职能而采取的</w:t>
      </w:r>
      <w:r w:rsidR="007E560C">
        <w:rPr>
          <w:rFonts w:ascii="SimSun" w:hAnsi="SimSun" w:cs="SimSun" w:hint="eastAsia"/>
          <w:sz w:val="24"/>
          <w:szCs w:val="24"/>
          <w:lang w:eastAsia="zh-CN"/>
        </w:rPr>
        <w:t>措施</w:t>
      </w:r>
      <w:r w:rsidRPr="0059416B">
        <w:rPr>
          <w:rFonts w:ascii="SimSun" w:hAnsi="SimSun" w:cs="SimSun" w:hint="eastAsia"/>
          <w:sz w:val="24"/>
          <w:szCs w:val="24"/>
          <w:lang w:eastAsia="zh-CN"/>
        </w:rPr>
        <w:t>将有助于确保其交付成果</w:t>
      </w:r>
      <w:r w:rsidR="00506926">
        <w:rPr>
          <w:rFonts w:ascii="SimSun" w:hAnsi="SimSun" w:cs="SimSun" w:hint="eastAsia"/>
          <w:sz w:val="24"/>
          <w:szCs w:val="24"/>
          <w:lang w:eastAsia="zh-CN"/>
        </w:rPr>
        <w:t>与</w:t>
      </w:r>
      <w:r w:rsidRPr="0059416B">
        <w:rPr>
          <w:rFonts w:ascii="SimSun" w:hAnsi="SimSun" w:cs="SimSun" w:hint="eastAsia"/>
          <w:sz w:val="24"/>
          <w:szCs w:val="24"/>
          <w:lang w:eastAsia="zh-CN"/>
        </w:rPr>
        <w:t>《公约》的工作</w:t>
      </w:r>
      <w:r w:rsidR="00506926">
        <w:rPr>
          <w:rFonts w:ascii="SimSun" w:hAnsi="SimSun" w:cs="SimSun" w:hint="eastAsia"/>
          <w:sz w:val="24"/>
          <w:szCs w:val="24"/>
          <w:lang w:eastAsia="zh-CN"/>
        </w:rPr>
        <w:t>息息相关</w:t>
      </w:r>
      <w:r w:rsidRPr="0059416B">
        <w:rPr>
          <w:rFonts w:ascii="SimSun" w:hAnsi="SimSun" w:cs="SimSun" w:hint="eastAsia"/>
          <w:sz w:val="24"/>
          <w:szCs w:val="24"/>
          <w:lang w:eastAsia="zh-CN"/>
        </w:rPr>
        <w:t>；</w:t>
      </w:r>
    </w:p>
    <w:p w14:paraId="6B3F1AE8" w14:textId="77777777" w:rsidR="000F4977" w:rsidRPr="00A31650" w:rsidRDefault="000F4977" w:rsidP="00B854A5">
      <w:pPr>
        <w:pStyle w:val="Para1"/>
        <w:numPr>
          <w:ilvl w:val="1"/>
          <w:numId w:val="37"/>
        </w:numPr>
        <w:tabs>
          <w:tab w:val="left" w:pos="1440"/>
        </w:tabs>
        <w:snapToGrid w:val="0"/>
        <w:rPr>
          <w:sz w:val="24"/>
          <w:szCs w:val="24"/>
          <w:lang w:eastAsia="zh-CN" w:bidi="th-TH"/>
        </w:rPr>
      </w:pPr>
      <w:r w:rsidRPr="0059416B">
        <w:rPr>
          <w:rFonts w:ascii="SimSun" w:hAnsi="SimSun" w:cs="SimSun" w:hint="eastAsia"/>
          <w:sz w:val="24"/>
          <w:szCs w:val="24"/>
          <w:lang w:eastAsia="zh-CN"/>
        </w:rPr>
        <w:t>应解决第一个工作方案中查明的知识和数据差距；</w:t>
      </w:r>
    </w:p>
    <w:p w14:paraId="6EF82699" w14:textId="70DEF52E" w:rsidR="000F4977" w:rsidRPr="00CC4002" w:rsidRDefault="000F4977" w:rsidP="00B854A5">
      <w:pPr>
        <w:pStyle w:val="Para1"/>
        <w:numPr>
          <w:ilvl w:val="1"/>
          <w:numId w:val="37"/>
        </w:numPr>
        <w:tabs>
          <w:tab w:val="left" w:pos="1440"/>
        </w:tabs>
        <w:snapToGrid w:val="0"/>
        <w:rPr>
          <w:sz w:val="24"/>
          <w:szCs w:val="24"/>
          <w:lang w:eastAsia="zh-CN"/>
        </w:rPr>
      </w:pPr>
      <w:r w:rsidRPr="00CC4002">
        <w:rPr>
          <w:rFonts w:hAnsi="SimSun" w:hint="eastAsia"/>
          <w:sz w:val="24"/>
          <w:szCs w:val="24"/>
          <w:lang w:eastAsia="zh-CN"/>
        </w:rPr>
        <w:t>应与各组织和倡议加强沟通，</w:t>
      </w:r>
      <w:r w:rsidRPr="00DE1325">
        <w:rPr>
          <w:rFonts w:asciiTheme="minorEastAsia" w:hAnsiTheme="minorEastAsia" w:hint="eastAsia"/>
          <w:sz w:val="24"/>
          <w:szCs w:val="24"/>
          <w:lang w:eastAsia="zh-CN"/>
        </w:rPr>
        <w:t>例如</w:t>
      </w:r>
      <w:r w:rsidRPr="008F29C5">
        <w:rPr>
          <w:rFonts w:ascii="SimSun" w:hAnsi="SimSun"/>
          <w:sz w:val="24"/>
          <w:szCs w:val="24"/>
          <w:lang w:eastAsia="zh-CN"/>
        </w:rPr>
        <w:t>“</w:t>
      </w:r>
      <w:r w:rsidRPr="008F29C5">
        <w:rPr>
          <w:rFonts w:ascii="SimSun" w:hAnsi="SimSun" w:hint="eastAsia"/>
          <w:sz w:val="24"/>
          <w:szCs w:val="24"/>
          <w:lang w:eastAsia="zh-CN"/>
        </w:rPr>
        <w:t>一体健康</w:t>
      </w:r>
      <w:r w:rsidRPr="008F29C5">
        <w:rPr>
          <w:rFonts w:ascii="SimSun" w:hAnsi="SimSun"/>
          <w:sz w:val="24"/>
          <w:szCs w:val="24"/>
          <w:lang w:eastAsia="zh-CN"/>
        </w:rPr>
        <w:t>”</w:t>
      </w:r>
      <w:r w:rsidRPr="00DE1325">
        <w:rPr>
          <w:rFonts w:asciiTheme="minorEastAsia" w:hAnsiTheme="minorEastAsia" w:hint="eastAsia"/>
          <w:sz w:val="24"/>
          <w:szCs w:val="24"/>
          <w:lang w:eastAsia="zh-CN"/>
        </w:rPr>
        <w:t>、</w:t>
      </w:r>
      <w:r w:rsidRPr="00CC4002">
        <w:rPr>
          <w:rFonts w:hAnsi="SimSun" w:hint="eastAsia"/>
          <w:sz w:val="24"/>
          <w:szCs w:val="24"/>
          <w:lang w:eastAsia="zh-CN"/>
        </w:rPr>
        <w:t>国际资源小组、一个地球网络、世界经济论坛、联合国全球契约、联合国统计司、国际综合报告委员会、自然资本联盟及其生物多样性工作组和全球报告倡议组织等；</w:t>
      </w:r>
    </w:p>
    <w:p w14:paraId="40EDB724" w14:textId="681B56A2" w:rsidR="000F4977" w:rsidRPr="00784865" w:rsidRDefault="000F4977" w:rsidP="00B854A5">
      <w:pPr>
        <w:pStyle w:val="Para1"/>
        <w:numPr>
          <w:ilvl w:val="0"/>
          <w:numId w:val="38"/>
        </w:numPr>
        <w:tabs>
          <w:tab w:val="clear" w:pos="360"/>
          <w:tab w:val="left" w:pos="1440"/>
        </w:tabs>
        <w:snapToGrid w:val="0"/>
        <w:ind w:firstLine="720"/>
        <w:rPr>
          <w:sz w:val="24"/>
          <w:lang w:eastAsia="zh-CN" w:bidi="th-TH"/>
        </w:rPr>
      </w:pPr>
      <w:r w:rsidRPr="00784865">
        <w:rPr>
          <w:sz w:val="24"/>
          <w:lang w:eastAsia="zh-CN"/>
        </w:rPr>
        <w:t>注意到制定和执行</w:t>
      </w:r>
      <w:r w:rsidRPr="00784865">
        <w:rPr>
          <w:sz w:val="24"/>
          <w:lang w:eastAsia="zh-CN" w:bidi="th-TH"/>
        </w:rPr>
        <w:t>2020</w:t>
      </w:r>
      <w:r w:rsidRPr="00784865">
        <w:rPr>
          <w:sz w:val="24"/>
          <w:lang w:eastAsia="zh-CN"/>
        </w:rPr>
        <w:t>年后全球生物多样性框架将对《公约》的需求作进一步的范围划分和缓急排列，</w:t>
      </w:r>
      <w:r w:rsidR="00506926" w:rsidRPr="00784865">
        <w:rPr>
          <w:sz w:val="24"/>
          <w:lang w:eastAsia="zh-CN"/>
        </w:rPr>
        <w:t>因此又</w:t>
      </w:r>
      <w:r w:rsidRPr="00784865">
        <w:rPr>
          <w:sz w:val="24"/>
          <w:lang w:eastAsia="zh-CN"/>
        </w:rPr>
        <w:t>邀请生物多样性和生态系统服务政府间科学政策平台顾及对其</w:t>
      </w:r>
      <w:r w:rsidR="0032141F" w:rsidRPr="00784865">
        <w:rPr>
          <w:sz w:val="24"/>
          <w:lang w:eastAsia="zh-CN"/>
        </w:rPr>
        <w:t>面向</w:t>
      </w:r>
      <w:r w:rsidRPr="00784865">
        <w:rPr>
          <w:sz w:val="24"/>
          <w:lang w:eastAsia="zh-CN" w:bidi="th-TH"/>
        </w:rPr>
        <w:t>2030</w:t>
      </w:r>
      <w:r w:rsidRPr="00784865">
        <w:rPr>
          <w:sz w:val="24"/>
          <w:lang w:eastAsia="zh-CN"/>
        </w:rPr>
        <w:t>年</w:t>
      </w:r>
      <w:r w:rsidR="0032141F" w:rsidRPr="00784865">
        <w:rPr>
          <w:sz w:val="24"/>
          <w:lang w:eastAsia="zh-CN"/>
        </w:rPr>
        <w:t>的</w:t>
      </w:r>
      <w:r w:rsidRPr="00784865">
        <w:rPr>
          <w:sz w:val="24"/>
          <w:lang w:eastAsia="zh-CN"/>
        </w:rPr>
        <w:t>工作方案的下列初步</w:t>
      </w:r>
      <w:r w:rsidR="00506926" w:rsidRPr="00784865">
        <w:rPr>
          <w:sz w:val="24"/>
          <w:lang w:eastAsia="zh-CN"/>
        </w:rPr>
        <w:t>要求</w:t>
      </w:r>
      <w:r w:rsidRPr="00784865">
        <w:rPr>
          <w:sz w:val="24"/>
          <w:lang w:eastAsia="zh-CN"/>
        </w:rPr>
        <w:t>：</w:t>
      </w:r>
    </w:p>
    <w:p w14:paraId="7A97A7C8" w14:textId="335C04D3" w:rsidR="000F4977" w:rsidRPr="00784865" w:rsidRDefault="000F4977" w:rsidP="00B854A5">
      <w:pPr>
        <w:pStyle w:val="Para1"/>
        <w:numPr>
          <w:ilvl w:val="1"/>
          <w:numId w:val="36"/>
        </w:numPr>
        <w:suppressLineNumbers/>
        <w:tabs>
          <w:tab w:val="left" w:pos="1440"/>
        </w:tabs>
        <w:suppressAutoHyphens/>
        <w:kinsoku w:val="0"/>
        <w:overflowPunct w:val="0"/>
        <w:autoSpaceDE w:val="0"/>
        <w:autoSpaceDN w:val="0"/>
        <w:adjustRightInd w:val="0"/>
        <w:snapToGrid w:val="0"/>
        <w:rPr>
          <w:sz w:val="24"/>
          <w:szCs w:val="24"/>
          <w:lang w:eastAsia="zh-CN" w:bidi="th-TH"/>
        </w:rPr>
      </w:pPr>
      <w:r w:rsidRPr="00784865">
        <w:rPr>
          <w:sz w:val="24"/>
          <w:szCs w:val="24"/>
          <w:lang w:eastAsia="zh-CN" w:bidi="th-TH"/>
        </w:rPr>
        <w:t>理解和评估转型变革的行为、社会、经济、体制、技能和工艺决定因素，以及如何</w:t>
      </w:r>
      <w:r w:rsidR="00506926" w:rsidRPr="00784865">
        <w:rPr>
          <w:sz w:val="24"/>
          <w:szCs w:val="24"/>
          <w:lang w:eastAsia="zh-CN" w:bidi="th-TH"/>
        </w:rPr>
        <w:t>进行</w:t>
      </w:r>
      <w:r w:rsidRPr="00784865">
        <w:rPr>
          <w:sz w:val="24"/>
          <w:szCs w:val="24"/>
          <w:lang w:eastAsia="zh-CN" w:bidi="th-TH"/>
        </w:rPr>
        <w:t>部署，以便实现</w:t>
      </w:r>
      <w:r w:rsidRPr="00784865">
        <w:rPr>
          <w:sz w:val="24"/>
          <w:szCs w:val="24"/>
          <w:lang w:eastAsia="zh-CN" w:bidi="th-TH"/>
        </w:rPr>
        <w:t>2050</w:t>
      </w:r>
      <w:r w:rsidRPr="00784865">
        <w:rPr>
          <w:sz w:val="24"/>
          <w:szCs w:val="24"/>
          <w:lang w:eastAsia="zh-CN" w:bidi="th-TH"/>
        </w:rPr>
        <w:t>年生物多样性愿景；</w:t>
      </w:r>
    </w:p>
    <w:p w14:paraId="270C9D57" w14:textId="77777777" w:rsidR="000F4977" w:rsidRPr="00784865" w:rsidRDefault="000F4977" w:rsidP="00B854A5">
      <w:pPr>
        <w:pStyle w:val="Para1"/>
        <w:numPr>
          <w:ilvl w:val="1"/>
          <w:numId w:val="34"/>
        </w:numPr>
        <w:suppressLineNumbers/>
        <w:tabs>
          <w:tab w:val="left" w:pos="1440"/>
        </w:tabs>
        <w:suppressAutoHyphens/>
        <w:kinsoku w:val="0"/>
        <w:overflowPunct w:val="0"/>
        <w:autoSpaceDE w:val="0"/>
        <w:autoSpaceDN w:val="0"/>
        <w:adjustRightInd w:val="0"/>
        <w:snapToGrid w:val="0"/>
        <w:rPr>
          <w:sz w:val="24"/>
          <w:szCs w:val="24"/>
          <w:lang w:eastAsia="zh-CN" w:bidi="th-TH"/>
        </w:rPr>
      </w:pPr>
      <w:r w:rsidRPr="00784865">
        <w:rPr>
          <w:sz w:val="24"/>
          <w:szCs w:val="24"/>
          <w:lang w:eastAsia="zh-CN" w:bidi="th-TH"/>
        </w:rPr>
        <w:t>制定多学科方法以了解生物多样性丧失的直接和间接驱动因素的相互作用；</w:t>
      </w:r>
    </w:p>
    <w:p w14:paraId="29FCEBD9" w14:textId="63667A07" w:rsidR="000F4977" w:rsidRPr="00784865" w:rsidRDefault="000F4977" w:rsidP="00B854A5">
      <w:pPr>
        <w:pStyle w:val="Para1"/>
        <w:numPr>
          <w:ilvl w:val="1"/>
          <w:numId w:val="34"/>
        </w:numPr>
        <w:suppressLineNumbers/>
        <w:tabs>
          <w:tab w:val="left" w:pos="1440"/>
        </w:tabs>
        <w:suppressAutoHyphens/>
        <w:kinsoku w:val="0"/>
        <w:overflowPunct w:val="0"/>
        <w:autoSpaceDE w:val="0"/>
        <w:autoSpaceDN w:val="0"/>
        <w:adjustRightInd w:val="0"/>
        <w:snapToGrid w:val="0"/>
        <w:rPr>
          <w:sz w:val="24"/>
          <w:szCs w:val="24"/>
          <w:lang w:eastAsia="zh-CN" w:bidi="th-TH"/>
        </w:rPr>
      </w:pPr>
      <w:r w:rsidRPr="00784865">
        <w:rPr>
          <w:sz w:val="24"/>
          <w:szCs w:val="24"/>
          <w:lang w:eastAsia="zh-CN" w:bidi="th-TH"/>
        </w:rPr>
        <w:t>评估生物多样性、粮食和水、农业和健康、营养与粮食安全、林业与渔业题之间的关系，考虑这些领域和相关可持续生产和消费以及污染和城市化政策选择之间的权衡，包括对能源和气候的影响，</w:t>
      </w:r>
      <w:r w:rsidR="00F81671">
        <w:rPr>
          <w:rFonts w:hint="eastAsia"/>
          <w:sz w:val="24"/>
          <w:szCs w:val="24"/>
          <w:lang w:eastAsia="zh-CN" w:bidi="th-TH"/>
        </w:rPr>
        <w:t>同时</w:t>
      </w:r>
      <w:r w:rsidR="00784865" w:rsidRPr="00784865">
        <w:rPr>
          <w:sz w:val="24"/>
          <w:szCs w:val="24"/>
          <w:lang w:eastAsia="zh-CN" w:bidi="th-TH"/>
        </w:rPr>
        <w:t>顾及生物多样性和生态系统服务在处理可持续发展目标中的作用，以期作出</w:t>
      </w:r>
      <w:r w:rsidRPr="00784865">
        <w:rPr>
          <w:sz w:val="24"/>
          <w:szCs w:val="24"/>
          <w:lang w:eastAsia="zh-CN" w:bidi="th-TH"/>
        </w:rPr>
        <w:t>有利决定支持实现</w:t>
      </w:r>
      <w:r w:rsidRPr="00784865">
        <w:rPr>
          <w:sz w:val="24"/>
          <w:szCs w:val="24"/>
          <w:lang w:eastAsia="zh-CN" w:bidi="th-TH"/>
        </w:rPr>
        <w:t>2050</w:t>
      </w:r>
      <w:r w:rsidRPr="00784865">
        <w:rPr>
          <w:sz w:val="24"/>
          <w:szCs w:val="24"/>
          <w:lang w:eastAsia="zh-CN" w:bidi="th-TH"/>
        </w:rPr>
        <w:t>年生物多样性愿景所需的连贯政策和转型变革；</w:t>
      </w:r>
    </w:p>
    <w:p w14:paraId="66F0A41E" w14:textId="08FF770C" w:rsidR="000F4977" w:rsidRPr="00784865" w:rsidRDefault="00784865" w:rsidP="00B854A5">
      <w:pPr>
        <w:pStyle w:val="Para1"/>
        <w:numPr>
          <w:ilvl w:val="1"/>
          <w:numId w:val="34"/>
        </w:numPr>
        <w:suppressLineNumbers/>
        <w:tabs>
          <w:tab w:val="left" w:pos="1440"/>
        </w:tabs>
        <w:suppressAutoHyphens/>
        <w:kinsoku w:val="0"/>
        <w:overflowPunct w:val="0"/>
        <w:autoSpaceDE w:val="0"/>
        <w:autoSpaceDN w:val="0"/>
        <w:adjustRightInd w:val="0"/>
        <w:snapToGrid w:val="0"/>
        <w:rPr>
          <w:sz w:val="24"/>
          <w:szCs w:val="24"/>
          <w:lang w:eastAsia="zh-CN" w:bidi="th-TH"/>
        </w:rPr>
      </w:pPr>
      <w:r>
        <w:rPr>
          <w:sz w:val="24"/>
          <w:szCs w:val="24"/>
          <w:lang w:eastAsia="zh-CN" w:bidi="th-TH"/>
        </w:rPr>
        <w:t>对各种政策手段和政策</w:t>
      </w:r>
      <w:r>
        <w:rPr>
          <w:rFonts w:hint="eastAsia"/>
          <w:sz w:val="24"/>
          <w:szCs w:val="24"/>
          <w:lang w:eastAsia="zh-CN" w:bidi="th-TH"/>
        </w:rPr>
        <w:t>和</w:t>
      </w:r>
      <w:r>
        <w:rPr>
          <w:sz w:val="24"/>
          <w:szCs w:val="24"/>
          <w:lang w:eastAsia="zh-CN" w:bidi="th-TH"/>
        </w:rPr>
        <w:t>规划支持</w:t>
      </w:r>
      <w:r>
        <w:rPr>
          <w:rFonts w:hint="eastAsia"/>
          <w:sz w:val="24"/>
          <w:szCs w:val="24"/>
          <w:lang w:eastAsia="zh-CN" w:bidi="th-TH"/>
        </w:rPr>
        <w:t>支助</w:t>
      </w:r>
      <w:r>
        <w:rPr>
          <w:sz w:val="24"/>
          <w:szCs w:val="24"/>
          <w:lang w:eastAsia="zh-CN" w:bidi="th-TH"/>
        </w:rPr>
        <w:t>的成效进行方法</w:t>
      </w:r>
      <w:r w:rsidR="000F4977" w:rsidRPr="00784865">
        <w:rPr>
          <w:sz w:val="24"/>
          <w:szCs w:val="24"/>
          <w:lang w:eastAsia="zh-CN" w:bidi="th-TH"/>
        </w:rPr>
        <w:t>评估，</w:t>
      </w:r>
      <w:r>
        <w:rPr>
          <w:rFonts w:hint="eastAsia"/>
          <w:sz w:val="24"/>
          <w:szCs w:val="24"/>
          <w:lang w:eastAsia="zh-CN" w:bidi="th-TH"/>
        </w:rPr>
        <w:t>以便</w:t>
      </w:r>
      <w:r>
        <w:rPr>
          <w:sz w:val="24"/>
          <w:szCs w:val="24"/>
          <w:lang w:eastAsia="zh-CN" w:bidi="th-TH"/>
        </w:rPr>
        <w:t>了解如何实现</w:t>
      </w:r>
      <w:r>
        <w:rPr>
          <w:rFonts w:hint="eastAsia"/>
          <w:sz w:val="24"/>
          <w:szCs w:val="24"/>
          <w:lang w:eastAsia="zh-CN" w:bidi="th-TH"/>
        </w:rPr>
        <w:t>转型变革和</w:t>
      </w:r>
      <w:r w:rsidR="00ED6DE7">
        <w:rPr>
          <w:sz w:val="24"/>
          <w:szCs w:val="24"/>
          <w:lang w:eastAsia="zh-CN" w:bidi="th-TH"/>
        </w:rPr>
        <w:t>描绘</w:t>
      </w:r>
      <w:r w:rsidR="00ED6DE7">
        <w:rPr>
          <w:rFonts w:hint="eastAsia"/>
          <w:sz w:val="24"/>
          <w:szCs w:val="24"/>
          <w:lang w:eastAsia="zh-CN" w:bidi="th-TH"/>
        </w:rPr>
        <w:t>及</w:t>
      </w:r>
      <w:r w:rsidR="000F4977" w:rsidRPr="00784865">
        <w:rPr>
          <w:sz w:val="24"/>
          <w:szCs w:val="24"/>
          <w:lang w:eastAsia="zh-CN" w:bidi="th-TH"/>
        </w:rPr>
        <w:t>量化</w:t>
      </w:r>
      <w:r w:rsidR="00ED6DE7">
        <w:rPr>
          <w:rFonts w:hint="eastAsia"/>
          <w:sz w:val="24"/>
          <w:szCs w:val="24"/>
          <w:lang w:eastAsia="zh-CN" w:bidi="th-TH"/>
        </w:rPr>
        <w:t>生物多样性</w:t>
      </w:r>
      <w:r w:rsidR="000F4977" w:rsidRPr="00784865">
        <w:rPr>
          <w:sz w:val="24"/>
          <w:szCs w:val="24"/>
          <w:lang w:eastAsia="zh-CN" w:bidi="th-TH"/>
        </w:rPr>
        <w:t>保护和可持续利用的成功做法和案例及其影响；</w:t>
      </w:r>
    </w:p>
    <w:p w14:paraId="38D50D42" w14:textId="7DCA86D8" w:rsidR="000F4977" w:rsidRPr="00784865" w:rsidRDefault="000F4977" w:rsidP="00B854A5">
      <w:pPr>
        <w:pStyle w:val="Para1"/>
        <w:numPr>
          <w:ilvl w:val="1"/>
          <w:numId w:val="34"/>
        </w:numPr>
        <w:suppressLineNumbers/>
        <w:tabs>
          <w:tab w:val="left" w:pos="1440"/>
        </w:tabs>
        <w:suppressAutoHyphens/>
        <w:kinsoku w:val="0"/>
        <w:overflowPunct w:val="0"/>
        <w:autoSpaceDE w:val="0"/>
        <w:autoSpaceDN w:val="0"/>
        <w:adjustRightInd w:val="0"/>
        <w:snapToGrid w:val="0"/>
        <w:rPr>
          <w:sz w:val="24"/>
          <w:szCs w:val="24"/>
          <w:lang w:eastAsia="zh-CN" w:bidi="th-TH"/>
        </w:rPr>
      </w:pPr>
      <w:r w:rsidRPr="00784865">
        <w:rPr>
          <w:sz w:val="24"/>
          <w:szCs w:val="24"/>
          <w:lang w:eastAsia="zh-CN" w:bidi="th-TH"/>
        </w:rPr>
        <w:t>评估生产部门可能产生的积极和消极影响，并对生产部门对生物多样性和生态系统服务所产生影响的标准、度量和指标以及生物多样性和生态系统服务带来的惠益进行一次方法评估，使企业能够减少这种负面影响并促进评估和报告的一致性，同时考虑到生物多样性的直接和间接压力及其之间的相互联系。</w:t>
      </w:r>
      <w:r w:rsidR="00600808" w:rsidRPr="00784865">
        <w:rPr>
          <w:sz w:val="24"/>
          <w:szCs w:val="24"/>
          <w:lang w:eastAsia="zh-CN" w:bidi="th-TH"/>
        </w:rPr>
        <w:t xml:space="preserve"> </w:t>
      </w:r>
    </w:p>
    <w:bookmarkEnd w:id="5"/>
    <w:p w14:paraId="7653EC7C" w14:textId="7888E2AA" w:rsidR="00FB5944" w:rsidRPr="00DE1325" w:rsidRDefault="00B854A5" w:rsidP="00B854A5">
      <w:pPr>
        <w:pStyle w:val="NormalWeb"/>
        <w:suppressLineNumbers/>
        <w:suppressAutoHyphens/>
        <w:kinsoku w:val="0"/>
        <w:autoSpaceDE w:val="0"/>
        <w:autoSpaceDN w:val="0"/>
        <w:adjustRightInd w:val="0"/>
        <w:snapToGrid w:val="0"/>
        <w:spacing w:before="120" w:beforeAutospacing="0" w:after="120" w:afterAutospacing="0"/>
        <w:ind w:left="0"/>
        <w:jc w:val="center"/>
        <w:rPr>
          <w:rFonts w:ascii="Times New Roman" w:hAnsi="Times New Roman" w:cs="Times New Roman"/>
          <w:kern w:val="22"/>
          <w:sz w:val="22"/>
          <w:szCs w:val="22"/>
          <w:lang w:val="en-GB"/>
        </w:rPr>
      </w:pPr>
      <w:r>
        <w:rPr>
          <w:rFonts w:ascii="Times New Roman" w:hAnsi="Times New Roman" w:cs="Times New Roman"/>
          <w:kern w:val="22"/>
          <w:sz w:val="22"/>
          <w:szCs w:val="22"/>
          <w:lang w:val="en-GB"/>
        </w:rPr>
        <w:t>__</w:t>
      </w:r>
      <w:r w:rsidR="00DE1325" w:rsidRPr="00F87024">
        <w:rPr>
          <w:rFonts w:ascii="Times New Roman" w:hAnsi="Times New Roman" w:cs="Times New Roman"/>
          <w:kern w:val="22"/>
          <w:sz w:val="22"/>
          <w:szCs w:val="22"/>
          <w:lang w:val="en-GB"/>
        </w:rPr>
        <w:t>__________</w:t>
      </w:r>
    </w:p>
    <w:sectPr w:rsidR="00FB5944" w:rsidRPr="00DE1325" w:rsidSect="00FB5944">
      <w:headerReference w:type="even" r:id="rId11"/>
      <w:headerReference w:type="default" r:id="rId12"/>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8F377" w14:textId="77777777" w:rsidR="00F36CE3" w:rsidRDefault="00F36CE3">
      <w:r>
        <w:separator/>
      </w:r>
    </w:p>
  </w:endnote>
  <w:endnote w:type="continuationSeparator" w:id="0">
    <w:p w14:paraId="40990995" w14:textId="77777777" w:rsidR="00F36CE3" w:rsidRDefault="00F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panose1 w:val="02010609060101010101"/>
    <w:charset w:val="86"/>
    <w:family w:val="modern"/>
    <w:pitch w:val="fixed"/>
    <w:sig w:usb0="800002BF" w:usb1="38CF7CFA" w:usb2="00000016" w:usb3="00000000" w:csb0="00040001"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40EF" w14:textId="77777777" w:rsidR="00F36CE3" w:rsidRDefault="00F36CE3">
      <w:r>
        <w:separator/>
      </w:r>
    </w:p>
  </w:footnote>
  <w:footnote w:type="continuationSeparator" w:id="0">
    <w:p w14:paraId="6D3FE7B2" w14:textId="77777777" w:rsidR="00F36CE3" w:rsidRDefault="00F36CE3">
      <w:r>
        <w:continuationSeparator/>
      </w:r>
    </w:p>
  </w:footnote>
  <w:footnote w:id="1">
    <w:p w14:paraId="6D2C7AD0" w14:textId="77777777" w:rsidR="000F4977" w:rsidRPr="00DE1325" w:rsidRDefault="000F4977" w:rsidP="00B854A5">
      <w:pPr>
        <w:pStyle w:val="FootnoteText"/>
        <w:tabs>
          <w:tab w:val="left" w:pos="360"/>
        </w:tabs>
        <w:kinsoku w:val="0"/>
        <w:overflowPunct w:val="0"/>
        <w:autoSpaceDE w:val="0"/>
        <w:autoSpaceDN w:val="0"/>
        <w:adjustRightInd w:val="0"/>
        <w:snapToGrid w:val="0"/>
        <w:ind w:firstLine="0"/>
        <w:jc w:val="left"/>
        <w:rPr>
          <w:sz w:val="20"/>
          <w:szCs w:val="20"/>
          <w:lang w:eastAsia="zh-CN"/>
        </w:rPr>
      </w:pPr>
      <w:r w:rsidRPr="00B854A5">
        <w:rPr>
          <w:rStyle w:val="FootnoteReference"/>
          <w:kern w:val="18"/>
          <w:sz w:val="24"/>
          <w:szCs w:val="20"/>
          <w:u w:val="none"/>
          <w:vertAlign w:val="superscript"/>
        </w:rPr>
        <w:footnoteRef/>
      </w:r>
      <w:r w:rsidRPr="00DE1325">
        <w:rPr>
          <w:kern w:val="18"/>
          <w:sz w:val="20"/>
          <w:szCs w:val="20"/>
          <w:lang w:eastAsia="zh-CN"/>
        </w:rPr>
        <w:t xml:space="preserve"> </w:t>
      </w:r>
      <w:r w:rsidRPr="00DE1325">
        <w:rPr>
          <w:kern w:val="18"/>
          <w:sz w:val="20"/>
          <w:szCs w:val="20"/>
          <w:lang w:eastAsia="zh-CN"/>
        </w:rPr>
        <w:tab/>
      </w:r>
      <w:r w:rsidRPr="00DE1325">
        <w:rPr>
          <w:rFonts w:ascii="SimSun" w:hAnsi="SimSun" w:cs="SimSun" w:hint="eastAsia"/>
          <w:kern w:val="18"/>
          <w:sz w:val="20"/>
          <w:szCs w:val="20"/>
          <w:lang w:eastAsia="zh-CN"/>
        </w:rPr>
        <w:t>见联大</w:t>
      </w:r>
      <w:smartTag w:uri="urn:schemas-microsoft-com:office:smarttags" w:element="chsdate">
        <w:smartTagPr>
          <w:attr w:name="IsROCDate" w:val="False"/>
          <w:attr w:name="IsLunarDate" w:val="False"/>
          <w:attr w:name="Day" w:val="25"/>
          <w:attr w:name="Month" w:val="9"/>
          <w:attr w:name="Year" w:val="2015"/>
        </w:smartTagPr>
        <w:r w:rsidRPr="00DE1325">
          <w:rPr>
            <w:kern w:val="18"/>
            <w:sz w:val="20"/>
            <w:szCs w:val="20"/>
            <w:lang w:eastAsia="zh-CN"/>
          </w:rPr>
          <w:t>2015</w:t>
        </w:r>
        <w:r w:rsidRPr="00DE1325">
          <w:rPr>
            <w:rFonts w:ascii="SimSun" w:hAnsi="SimSun" w:cs="SimSun" w:hint="eastAsia"/>
            <w:kern w:val="18"/>
            <w:sz w:val="20"/>
            <w:szCs w:val="20"/>
            <w:lang w:eastAsia="zh-CN"/>
          </w:rPr>
          <w:t>年</w:t>
        </w:r>
        <w:r w:rsidRPr="00DE1325">
          <w:rPr>
            <w:kern w:val="18"/>
            <w:sz w:val="20"/>
            <w:szCs w:val="20"/>
            <w:lang w:eastAsia="zh-CN"/>
          </w:rPr>
          <w:t>9</w:t>
        </w:r>
        <w:r w:rsidRPr="00DE1325">
          <w:rPr>
            <w:rFonts w:ascii="SimSun" w:hAnsi="SimSun" w:cs="SimSun" w:hint="eastAsia"/>
            <w:kern w:val="18"/>
            <w:sz w:val="20"/>
            <w:szCs w:val="20"/>
            <w:lang w:eastAsia="zh-CN"/>
          </w:rPr>
          <w:t>月</w:t>
        </w:r>
        <w:r w:rsidRPr="00DE1325">
          <w:rPr>
            <w:kern w:val="18"/>
            <w:sz w:val="20"/>
            <w:szCs w:val="20"/>
            <w:lang w:eastAsia="zh-CN"/>
          </w:rPr>
          <w:t>25</w:t>
        </w:r>
        <w:r w:rsidRPr="00DE1325">
          <w:rPr>
            <w:rFonts w:ascii="SimSun" w:hAnsi="SimSun" w:cs="SimSun" w:hint="eastAsia"/>
            <w:kern w:val="18"/>
            <w:sz w:val="20"/>
            <w:szCs w:val="20"/>
            <w:lang w:eastAsia="zh-CN"/>
          </w:rPr>
          <w:t>日</w:t>
        </w:r>
      </w:smartTag>
      <w:r w:rsidRPr="00DE1325">
        <w:rPr>
          <w:rFonts w:ascii="SimSun" w:hAnsi="SimSun" w:cs="SimSun" w:hint="eastAsia"/>
          <w:kern w:val="18"/>
          <w:sz w:val="20"/>
          <w:szCs w:val="20"/>
          <w:lang w:eastAsia="zh-CN"/>
        </w:rPr>
        <w:t>第</w:t>
      </w:r>
      <w:hyperlink r:id="rId1" w:history="1">
        <w:r w:rsidRPr="00DE1325">
          <w:rPr>
            <w:rStyle w:val="Hyperlink"/>
            <w:kern w:val="18"/>
            <w:sz w:val="20"/>
            <w:szCs w:val="20"/>
            <w:lang w:eastAsia="zh-CN"/>
          </w:rPr>
          <w:t>70/1</w:t>
        </w:r>
      </w:hyperlink>
      <w:r w:rsidRPr="00DE1325">
        <w:rPr>
          <w:rFonts w:ascii="SimSun" w:hAnsi="SimSun" w:cs="SimSun" w:hint="eastAsia"/>
          <w:kern w:val="18"/>
          <w:sz w:val="20"/>
          <w:szCs w:val="20"/>
          <w:lang w:eastAsia="zh-CN"/>
        </w:rPr>
        <w:t>号决议。</w:t>
      </w:r>
    </w:p>
  </w:footnote>
  <w:footnote w:id="2">
    <w:p w14:paraId="5E707B4A" w14:textId="77777777" w:rsidR="000F4977" w:rsidRPr="00DE1325" w:rsidRDefault="000F4977" w:rsidP="00B854A5">
      <w:pPr>
        <w:pStyle w:val="FootnoteText"/>
        <w:tabs>
          <w:tab w:val="left" w:pos="360"/>
        </w:tabs>
        <w:kinsoku w:val="0"/>
        <w:overflowPunct w:val="0"/>
        <w:autoSpaceDE w:val="0"/>
        <w:autoSpaceDN w:val="0"/>
        <w:adjustRightInd w:val="0"/>
        <w:snapToGrid w:val="0"/>
        <w:ind w:firstLine="0"/>
        <w:jc w:val="left"/>
        <w:rPr>
          <w:sz w:val="20"/>
          <w:szCs w:val="20"/>
          <w:lang w:eastAsia="zh-CN"/>
        </w:rPr>
      </w:pPr>
      <w:r w:rsidRPr="00B854A5">
        <w:rPr>
          <w:rStyle w:val="FootnoteReference"/>
          <w:kern w:val="18"/>
          <w:sz w:val="24"/>
          <w:szCs w:val="20"/>
          <w:u w:val="none"/>
          <w:vertAlign w:val="superscript"/>
        </w:rPr>
        <w:footnoteRef/>
      </w:r>
      <w:r w:rsidRPr="00B854A5">
        <w:rPr>
          <w:rStyle w:val="FootnoteReference"/>
          <w:sz w:val="24"/>
          <w:szCs w:val="20"/>
          <w:u w:val="none"/>
          <w:lang w:eastAsia="zh-CN"/>
        </w:rPr>
        <w:t xml:space="preserve"> </w:t>
      </w:r>
      <w:r w:rsidRPr="00DE1325">
        <w:rPr>
          <w:sz w:val="20"/>
          <w:szCs w:val="20"/>
          <w:lang w:eastAsia="zh-CN"/>
        </w:rPr>
        <w:tab/>
      </w:r>
      <w:r w:rsidRPr="00DE1325">
        <w:rPr>
          <w:rFonts w:ascii="SimSun" w:hAnsi="SimSun" w:cs="SimSun" w:hint="eastAsia"/>
          <w:kern w:val="18"/>
          <w:sz w:val="20"/>
          <w:szCs w:val="20"/>
          <w:lang w:eastAsia="zh-CN"/>
        </w:rPr>
        <w:t>联合国，《</w:t>
      </w:r>
      <w:r w:rsidRPr="00DE1325">
        <w:rPr>
          <w:rFonts w:ascii="KaiTi" w:eastAsia="KaiTi" w:hAnsi="KaiTi" w:hint="eastAsia"/>
          <w:iCs/>
          <w:sz w:val="20"/>
          <w:szCs w:val="20"/>
          <w:lang w:eastAsia="zh-CN"/>
        </w:rPr>
        <w:t>条约汇编</w:t>
      </w:r>
      <w:r w:rsidRPr="00DE1325">
        <w:rPr>
          <w:rFonts w:ascii="SimSun" w:hAnsi="SimSun" w:cs="SimSun" w:hint="eastAsia"/>
          <w:kern w:val="18"/>
          <w:sz w:val="20"/>
          <w:szCs w:val="20"/>
          <w:lang w:eastAsia="zh-CN"/>
        </w:rPr>
        <w:t>》，第</w:t>
      </w:r>
      <w:r w:rsidRPr="00DE1325">
        <w:rPr>
          <w:kern w:val="18"/>
          <w:sz w:val="20"/>
          <w:szCs w:val="20"/>
          <w:lang w:eastAsia="zh-CN"/>
        </w:rPr>
        <w:t>54113</w:t>
      </w:r>
      <w:r w:rsidRPr="00DE1325">
        <w:rPr>
          <w:rFonts w:ascii="SimSun" w:hAnsi="SimSun" w:cs="SimSun" w:hint="eastAsia"/>
          <w:kern w:val="18"/>
          <w:sz w:val="20"/>
          <w:szCs w:val="20"/>
          <w:lang w:eastAsia="zh-CN"/>
        </w:rPr>
        <w:t>号。</w:t>
      </w:r>
    </w:p>
  </w:footnote>
  <w:footnote w:id="3">
    <w:p w14:paraId="1C36BE4C" w14:textId="77777777" w:rsidR="000F4977" w:rsidRDefault="000F4977" w:rsidP="00B854A5">
      <w:pPr>
        <w:pStyle w:val="FootnoteText"/>
        <w:tabs>
          <w:tab w:val="left" w:pos="360"/>
        </w:tabs>
        <w:kinsoku w:val="0"/>
        <w:overflowPunct w:val="0"/>
        <w:autoSpaceDE w:val="0"/>
        <w:autoSpaceDN w:val="0"/>
        <w:adjustRightInd w:val="0"/>
        <w:snapToGrid w:val="0"/>
        <w:ind w:firstLine="0"/>
        <w:jc w:val="left"/>
        <w:rPr>
          <w:lang w:eastAsia="zh-CN"/>
        </w:rPr>
      </w:pPr>
      <w:r w:rsidRPr="00B854A5">
        <w:rPr>
          <w:rStyle w:val="FootnoteReference"/>
          <w:kern w:val="18"/>
          <w:sz w:val="24"/>
          <w:szCs w:val="20"/>
          <w:u w:val="none"/>
          <w:vertAlign w:val="superscript"/>
        </w:rPr>
        <w:footnoteRef/>
      </w:r>
      <w:r w:rsidRPr="00B854A5">
        <w:rPr>
          <w:rStyle w:val="FootnoteReference"/>
          <w:kern w:val="18"/>
          <w:sz w:val="24"/>
          <w:u w:val="none"/>
          <w:vertAlign w:val="superscript"/>
          <w:lang w:eastAsia="zh-CN"/>
        </w:rPr>
        <w:t xml:space="preserve"> </w:t>
      </w:r>
      <w:r w:rsidRPr="00DE1325">
        <w:rPr>
          <w:sz w:val="20"/>
          <w:szCs w:val="20"/>
          <w:lang w:eastAsia="zh-CN"/>
        </w:rPr>
        <w:tab/>
      </w:r>
      <w:r w:rsidRPr="00DE1325">
        <w:rPr>
          <w:rFonts w:hint="eastAsia"/>
          <w:sz w:val="20"/>
          <w:szCs w:val="20"/>
          <w:lang w:eastAsia="zh-CN"/>
        </w:rPr>
        <w:t>关于平台第一次工作方案执行情况的第</w:t>
      </w:r>
      <w:r w:rsidRPr="00DE1325">
        <w:rPr>
          <w:kern w:val="18"/>
          <w:sz w:val="20"/>
          <w:szCs w:val="20"/>
          <w:lang w:eastAsia="zh-CN"/>
        </w:rPr>
        <w:t>IPBES-6/1</w:t>
      </w:r>
      <w:r w:rsidRPr="00DE1325">
        <w:rPr>
          <w:rFonts w:hint="eastAsia"/>
          <w:sz w:val="20"/>
          <w:szCs w:val="20"/>
          <w:lang w:eastAsia="zh-CN"/>
        </w:rPr>
        <w:t>号决定。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D635D" w14:textId="77777777" w:rsidR="00B854A5" w:rsidRPr="00AB32FC" w:rsidRDefault="00B854A5" w:rsidP="00B854A5">
    <w:pPr>
      <w:topLinePunct/>
      <w:rPr>
        <w:rFonts w:eastAsia="Times New Roman"/>
      </w:rPr>
    </w:pPr>
    <w:r>
      <w:rPr>
        <w:rFonts w:eastAsia="Times New Roman"/>
      </w:rPr>
      <w:t>CBD/COP/DEC/14/36</w:t>
    </w:r>
  </w:p>
  <w:p w14:paraId="290169C0" w14:textId="77777777" w:rsidR="00FB5944" w:rsidRPr="00E82BE1" w:rsidRDefault="00FB5944"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EB0BF3">
      <w:rPr>
        <w:noProof/>
        <w:kern w:val="22"/>
        <w:lang w:val="en-GB"/>
      </w:rPr>
      <w:t>2</w:t>
    </w:r>
    <w:r w:rsidRPr="00E82BE1">
      <w:rPr>
        <w:noProof/>
        <w:kern w:val="22"/>
        <w:lang w:val="en-GB"/>
      </w:rPr>
      <w:fldChar w:fldCharType="end"/>
    </w:r>
  </w:p>
  <w:p w14:paraId="3642B049" w14:textId="77777777" w:rsidR="002365F9" w:rsidRPr="0044344A" w:rsidRDefault="002365F9">
    <w:pPr>
      <w:pStyle w:val="Header"/>
      <w:tabs>
        <w:tab w:val="clear" w:pos="4320"/>
        <w:tab w:val="clear" w:pos="8640"/>
      </w:tabs>
      <w:rPr>
        <w:noProof/>
        <w:kern w:val="22"/>
        <w:sz w:val="22"/>
        <w:szCs w:val="22"/>
        <w:lang w:val="en-GB"/>
      </w:rPr>
    </w:pPr>
  </w:p>
  <w:p w14:paraId="3771A993"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98474" w14:textId="77777777" w:rsidR="00B854A5" w:rsidRPr="00AB32FC" w:rsidRDefault="00B854A5" w:rsidP="00B854A5">
    <w:pPr>
      <w:topLinePunct/>
      <w:jc w:val="right"/>
      <w:rPr>
        <w:rFonts w:eastAsia="Times New Roman"/>
      </w:rPr>
    </w:pPr>
    <w:r>
      <w:rPr>
        <w:rFonts w:eastAsia="Times New Roman"/>
      </w:rPr>
      <w:t>CBD/COP/DEC/14/36</w:t>
    </w:r>
  </w:p>
  <w:p w14:paraId="4C0B91FA" w14:textId="77777777" w:rsidR="002365F9" w:rsidRPr="00E82BE1" w:rsidRDefault="002365F9" w:rsidP="00B854A5">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EB0BF3">
      <w:rPr>
        <w:noProof/>
        <w:kern w:val="22"/>
        <w:lang w:val="en-GB"/>
      </w:rPr>
      <w:t>3</w:t>
    </w:r>
    <w:r w:rsidRPr="00E82BE1">
      <w:rPr>
        <w:noProof/>
        <w:kern w:val="22"/>
        <w:lang w:val="en-GB"/>
      </w:rPr>
      <w:fldChar w:fldCharType="end"/>
    </w:r>
  </w:p>
  <w:p w14:paraId="72EC0526" w14:textId="77777777" w:rsidR="002365F9" w:rsidRPr="00F35FF9" w:rsidRDefault="002365F9" w:rsidP="00AA50C2">
    <w:pPr>
      <w:pStyle w:val="Header"/>
      <w:tabs>
        <w:tab w:val="clear" w:pos="4320"/>
        <w:tab w:val="clear" w:pos="8640"/>
      </w:tabs>
      <w:jc w:val="right"/>
      <w:rPr>
        <w:noProof/>
        <w:kern w:val="22"/>
        <w:sz w:val="22"/>
        <w:szCs w:val="22"/>
        <w:lang w:val="en-GB"/>
      </w:rPr>
    </w:pPr>
  </w:p>
  <w:p w14:paraId="638E8122"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5"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6"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2"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0442B4"/>
    <w:multiLevelType w:val="multilevel"/>
    <w:tmpl w:val="E8C8D004"/>
    <w:lvl w:ilvl="0">
      <w:start w:val="1"/>
      <w:numFmt w:val="decimal"/>
      <w:lvlText w:val="%1."/>
      <w:lvlJc w:val="left"/>
      <w:pPr>
        <w:tabs>
          <w:tab w:val="num" w:pos="360"/>
        </w:tabs>
      </w:pPr>
      <w:rPr>
        <w:rFonts w:ascii="Times New Roman" w:hAnsi="Times New Roman"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A5C49BE"/>
    <w:multiLevelType w:val="hybridMultilevel"/>
    <w:tmpl w:val="A57AA244"/>
    <w:lvl w:ilvl="0" w:tplc="A17CB458">
      <w:start w:val="1"/>
      <w:numFmt w:val="decimal"/>
      <w:lvlText w:val="%1."/>
      <w:lvlJc w:val="left"/>
      <w:pPr>
        <w:ind w:left="3600" w:hanging="1440"/>
      </w:pPr>
      <w:rPr>
        <w:rFonts w:ascii="Times New Roman" w:hAnsi="Times New Roman"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3"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6"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7"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0"/>
  </w:num>
  <w:num w:numId="3">
    <w:abstractNumId w:val="27"/>
  </w:num>
  <w:num w:numId="4">
    <w:abstractNumId w:val="16"/>
  </w:num>
  <w:num w:numId="5">
    <w:abstractNumId w:val="3"/>
  </w:num>
  <w:num w:numId="6">
    <w:abstractNumId w:val="32"/>
  </w:num>
  <w:num w:numId="7">
    <w:abstractNumId w:val="0"/>
  </w:num>
  <w:num w:numId="8">
    <w:abstractNumId w:val="21"/>
  </w:num>
  <w:num w:numId="9">
    <w:abstractNumId w:val="1"/>
  </w:num>
  <w:num w:numId="10">
    <w:abstractNumId w:val="26"/>
  </w:num>
  <w:num w:numId="11">
    <w:abstractNumId w:val="6"/>
  </w:num>
  <w:num w:numId="12">
    <w:abstractNumId w:val="11"/>
  </w:num>
  <w:num w:numId="13">
    <w:abstractNumId w:val="5"/>
  </w:num>
  <w:num w:numId="14">
    <w:abstractNumId w:val="2"/>
  </w:num>
  <w:num w:numId="15">
    <w:abstractNumId w:val="33"/>
  </w:num>
  <w:num w:numId="16">
    <w:abstractNumId w:val="31"/>
  </w:num>
  <w:num w:numId="17">
    <w:abstractNumId w:val="19"/>
  </w:num>
  <w:num w:numId="18">
    <w:abstractNumId w:val="28"/>
  </w:num>
  <w:num w:numId="19">
    <w:abstractNumId w:val="24"/>
  </w:num>
  <w:num w:numId="20">
    <w:abstractNumId w:val="9"/>
  </w:num>
  <w:num w:numId="21">
    <w:abstractNumId w:val="20"/>
  </w:num>
  <w:num w:numId="22">
    <w:abstractNumId w:val="17"/>
  </w:num>
  <w:num w:numId="23">
    <w:abstractNumId w:val="34"/>
  </w:num>
  <w:num w:numId="24">
    <w:abstractNumId w:val="13"/>
  </w:num>
  <w:num w:numId="25">
    <w:abstractNumId w:val="7"/>
  </w:num>
  <w:num w:numId="26">
    <w:abstractNumId w:val="4"/>
  </w:num>
  <w:num w:numId="27">
    <w:abstractNumId w:val="8"/>
  </w:num>
  <w:num w:numId="28">
    <w:abstractNumId w:val="29"/>
  </w:num>
  <w:num w:numId="29">
    <w:abstractNumId w:val="14"/>
  </w:num>
  <w:num w:numId="30">
    <w:abstractNumId w:val="23"/>
  </w:num>
  <w:num w:numId="31">
    <w:abstractNumId w:val="25"/>
  </w:num>
  <w:num w:numId="32">
    <w:abstractNumId w:val="12"/>
  </w:num>
  <w:num w:numId="33">
    <w:abstractNumId w:val="30"/>
  </w:num>
  <w:num w:numId="34">
    <w:abstractNumId w:val="18"/>
  </w:num>
  <w:num w:numId="35">
    <w:abstractNumId w:val="2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5ED"/>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977"/>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43D"/>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765"/>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1F"/>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6E80"/>
    <w:rsid w:val="003C794C"/>
    <w:rsid w:val="003D0AB4"/>
    <w:rsid w:val="003D1345"/>
    <w:rsid w:val="003D1397"/>
    <w:rsid w:val="003D1F77"/>
    <w:rsid w:val="003D263C"/>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C06"/>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2DD"/>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26"/>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6D10"/>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C3B"/>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0808"/>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6FAF"/>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586"/>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4588"/>
    <w:rsid w:val="00784865"/>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0C"/>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0D64"/>
    <w:rsid w:val="008F117E"/>
    <w:rsid w:val="008F2272"/>
    <w:rsid w:val="008F2733"/>
    <w:rsid w:val="008F29C5"/>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D03"/>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27A9"/>
    <w:rsid w:val="00A2454D"/>
    <w:rsid w:val="00A24FEE"/>
    <w:rsid w:val="00A2543A"/>
    <w:rsid w:val="00A2566A"/>
    <w:rsid w:val="00A261CF"/>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1924"/>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55A3"/>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54A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1EA7"/>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37A3E"/>
    <w:rsid w:val="00C403C4"/>
    <w:rsid w:val="00C4052E"/>
    <w:rsid w:val="00C4074E"/>
    <w:rsid w:val="00C40F79"/>
    <w:rsid w:val="00C414E9"/>
    <w:rsid w:val="00C41E6F"/>
    <w:rsid w:val="00C420BF"/>
    <w:rsid w:val="00C43781"/>
    <w:rsid w:val="00C45B03"/>
    <w:rsid w:val="00C45C4E"/>
    <w:rsid w:val="00C46A35"/>
    <w:rsid w:val="00C46DA9"/>
    <w:rsid w:val="00C47D7A"/>
    <w:rsid w:val="00C50323"/>
    <w:rsid w:val="00C50BBD"/>
    <w:rsid w:val="00C51597"/>
    <w:rsid w:val="00C5176A"/>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23B"/>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4882"/>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6F3C"/>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B8"/>
    <w:rsid w:val="00D74FB5"/>
    <w:rsid w:val="00D75190"/>
    <w:rsid w:val="00D75DFB"/>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325"/>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2823"/>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4B18"/>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0BF3"/>
    <w:rsid w:val="00EB2245"/>
    <w:rsid w:val="00EB2361"/>
    <w:rsid w:val="00EB2FA5"/>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6DE7"/>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CE3"/>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71"/>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3F68"/>
    <w:rsid w:val="00FC5AB8"/>
    <w:rsid w:val="00FC5C15"/>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8C6941"/>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uiPriority w:val="99"/>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paragraph" w:customStyle="1" w:styleId="bodytextnoindent">
    <w:name w:val="body text (no indent)"/>
    <w:basedOn w:val="Normal"/>
    <w:uiPriority w:val="99"/>
    <w:rsid w:val="000F4977"/>
    <w:pPr>
      <w:widowControl w:val="0"/>
      <w:overflowPunct w:val="0"/>
      <w:autoSpaceDE w:val="0"/>
      <w:autoSpaceDN w:val="0"/>
      <w:adjustRightInd w:val="0"/>
      <w:spacing w:before="120" w:after="120"/>
      <w:ind w:firstLine="706"/>
      <w:jc w:val="both"/>
      <w:textAlignment w:val="baseline"/>
    </w:pPr>
    <w:rPr>
      <w:rFonts w:cs="Angsana New"/>
      <w:sz w:val="22"/>
      <w:szCs w:val="20"/>
      <w:lang w:val="en-GB" w:eastAsia="zh-CN"/>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locked/>
    <w:rsid w:val="000F4977"/>
    <w:rPr>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F4977"/>
    <w:pPr>
      <w:spacing w:after="160" w:line="240" w:lineRule="exact"/>
      <w:jc w:val="both"/>
    </w:pPr>
    <w:rPr>
      <w:sz w:val="18"/>
      <w:szCs w:val="20"/>
      <w:u w:val="single"/>
      <w:lang w:val="en-CA" w:eastAsia="en-CA"/>
    </w:rPr>
  </w:style>
  <w:style w:type="paragraph" w:customStyle="1" w:styleId="StylePara1HeadingsCSTimesNewRoman">
    <w:name w:val="Style Para1 + +Headings CS (Times New Roman)"/>
    <w:basedOn w:val="Para1"/>
    <w:rsid w:val="000F4977"/>
    <w:pPr>
      <w:numPr>
        <w:numId w:val="0"/>
      </w:numPr>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A/RES/7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55D40-FE95-41D1-8D4B-B23BBF1C6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109</TotalTime>
  <Pages>3</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14/36. Second work programme of the Intergovernmental Science-Policy Platform on Biodiversity and Ecosystem Services</dc:title>
  <dc:subject>CBD/COP/DEC/14/36</dc:subject>
  <dc:creator>SCBD</dc:creator>
  <cp:lastModifiedBy>Chuansheng Li</cp:lastModifiedBy>
  <cp:revision>14</cp:revision>
  <cp:lastPrinted>2018-10-19T18:38:00Z</cp:lastPrinted>
  <dcterms:created xsi:type="dcterms:W3CDTF">2019-01-26T14:24:00Z</dcterms:created>
  <dcterms:modified xsi:type="dcterms:W3CDTF">2019-01-28T14:38:00Z</dcterms:modified>
</cp:coreProperties>
</file>