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4B7953" w:rsidP="0038105E">
                <w:pPr>
                  <w:suppressLineNumbers/>
                  <w:suppressAutoHyphens/>
                  <w:kinsoku w:val="0"/>
                  <w:overflowPunct w:val="0"/>
                  <w:autoSpaceDE w:val="0"/>
                  <w:autoSpaceDN w:val="0"/>
                  <w:ind w:left="1215"/>
                  <w:rPr>
                    <w:kern w:val="22"/>
                    <w:szCs w:val="22"/>
                  </w:rPr>
                </w:pPr>
                <w:r>
                  <w:rPr>
                    <w:kern w:val="22"/>
                  </w:rPr>
                  <w:t>CBD/COP/DEC/14/</w:t>
                </w:r>
                <w:r>
                  <w:rPr>
                    <w:kern w:val="22"/>
                    <w:lang w:val="fr-FR"/>
                  </w:rPr>
                  <w:t>35</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17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943730">
        <w:rPr>
          <w:b/>
          <w:iCs/>
        </w:rPr>
        <w:t>/</w:t>
      </w:r>
      <w:r w:rsidR="004B7953">
        <w:rPr>
          <w:b/>
          <w:iCs/>
          <w:lang w:val="fr-FR"/>
        </w:rPr>
        <w:t>35</w:t>
      </w:r>
      <w:r w:rsidRPr="009F5421">
        <w:rPr>
          <w:b/>
          <w:iCs/>
          <w:lang w:val="fr-FR"/>
        </w:rPr>
        <w:tab/>
      </w:r>
      <w:r w:rsidR="004B7953" w:rsidRPr="004B7953">
        <w:rPr>
          <w:b/>
          <w:iCs/>
        </w:rPr>
        <w:t>Глобальн</w:t>
      </w:r>
      <w:r w:rsidR="004B7953">
        <w:rPr>
          <w:b/>
          <w:iCs/>
        </w:rPr>
        <w:t>ая</w:t>
      </w:r>
      <w:r w:rsidR="004B7953" w:rsidRPr="004B7953">
        <w:rPr>
          <w:b/>
          <w:iCs/>
        </w:rPr>
        <w:t xml:space="preserve"> перспектив</w:t>
      </w:r>
      <w:r w:rsidR="004B7953">
        <w:rPr>
          <w:b/>
          <w:iCs/>
        </w:rPr>
        <w:t>а</w:t>
      </w:r>
      <w:r w:rsidR="004B7953" w:rsidRPr="004B7953">
        <w:rPr>
          <w:b/>
          <w:iCs/>
        </w:rPr>
        <w:t xml:space="preserve"> в области биоразнообразия</w:t>
      </w:r>
    </w:p>
    <w:p w:rsidR="004B7953" w:rsidRPr="00304E14" w:rsidRDefault="004B7953" w:rsidP="004B7953">
      <w:pPr>
        <w:pStyle w:val="Para1"/>
        <w:ind w:firstLine="720"/>
        <w:rPr>
          <w:i/>
          <w:kern w:val="22"/>
          <w:szCs w:val="22"/>
        </w:rPr>
      </w:pPr>
      <w:r w:rsidRPr="00304E14">
        <w:rPr>
          <w:i/>
          <w:kern w:val="22"/>
          <w:szCs w:val="22"/>
        </w:rPr>
        <w:t>Конференция Сторон</w:t>
      </w:r>
    </w:p>
    <w:p w:rsidR="004B7953" w:rsidRPr="00304E14" w:rsidRDefault="004B7953" w:rsidP="004B7953">
      <w:pPr>
        <w:pStyle w:val="Para1"/>
        <w:numPr>
          <w:ilvl w:val="0"/>
          <w:numId w:val="39"/>
        </w:numPr>
        <w:tabs>
          <w:tab w:val="clear" w:pos="360"/>
        </w:tabs>
        <w:ind w:firstLine="709"/>
        <w:rPr>
          <w:kern w:val="22"/>
        </w:rPr>
      </w:pPr>
      <w:r w:rsidRPr="00304E14">
        <w:rPr>
          <w:i/>
          <w:iCs/>
          <w:kern w:val="22"/>
        </w:rPr>
        <w:t>ссылается</w:t>
      </w:r>
      <w:r w:rsidRPr="00304E14">
        <w:rPr>
          <w:kern w:val="22"/>
        </w:rPr>
        <w:t xml:space="preserve"> на </w:t>
      </w:r>
      <w:hyperlink r:id="rId12" w:history="1">
        <w:r w:rsidRPr="00304E14">
          <w:rPr>
            <w:rStyle w:val="Lienhypertexte"/>
            <w:sz w:val="22"/>
            <w:szCs w:val="22"/>
          </w:rPr>
          <w:t>решение XIII/29</w:t>
        </w:r>
      </w:hyperlink>
      <w:r w:rsidRPr="00304E14">
        <w:rPr>
          <w:kern w:val="22"/>
        </w:rPr>
        <w:t>, в котором она постановила, что пятое издание Глобальной перспективы в области биоразнообразия,</w:t>
      </w:r>
      <w:r w:rsidRPr="00304E14">
        <w:rPr>
          <w:i/>
          <w:kern w:val="22"/>
        </w:rPr>
        <w:t xml:space="preserve"> </w:t>
      </w:r>
      <w:r w:rsidRPr="00304E14">
        <w:rPr>
          <w:kern w:val="22"/>
        </w:rPr>
        <w:t>которое б</w:t>
      </w:r>
      <w:r w:rsidR="00D47588">
        <w:rPr>
          <w:kern w:val="22"/>
        </w:rPr>
        <w:t xml:space="preserve">удет </w:t>
      </w:r>
      <w:r w:rsidRPr="00304E14">
        <w:rPr>
          <w:kern w:val="22"/>
        </w:rPr>
        <w:t>рассмотрено</w:t>
      </w:r>
      <w:r w:rsidRPr="00304E14">
        <w:rPr>
          <w:i/>
          <w:kern w:val="22"/>
        </w:rPr>
        <w:t xml:space="preserve"> </w:t>
      </w:r>
      <w:r w:rsidRPr="00304E14">
        <w:rPr>
          <w:kern w:val="22"/>
        </w:rPr>
        <w:t xml:space="preserve">Конференцией Сторон на ее 15-м </w:t>
      </w:r>
      <w:r w:rsidRPr="00304E14">
        <w:rPr>
          <w:iCs/>
          <w:szCs w:val="22"/>
        </w:rPr>
        <w:t>совещании</w:t>
      </w:r>
      <w:r w:rsidRPr="00304E14">
        <w:rPr>
          <w:kern w:val="22"/>
        </w:rPr>
        <w:t>, должно обеспечить основу для последующей деятельности по итогам Стратегического плана в области сохранения и устойчивого использования биоразнообразия на 2011-2020 годы</w:t>
      </w:r>
      <w:r w:rsidRPr="00D47588">
        <w:rPr>
          <w:rStyle w:val="Appelnotedebasdep"/>
          <w:rFonts w:eastAsiaTheme="majorEastAsia"/>
          <w:kern w:val="22"/>
          <w:sz w:val="22"/>
          <w:szCs w:val="22"/>
        </w:rPr>
        <w:footnoteReference w:id="2"/>
      </w:r>
      <w:r w:rsidRPr="00304E14">
        <w:rPr>
          <w:kern w:val="22"/>
        </w:rPr>
        <w:t>;</w:t>
      </w:r>
    </w:p>
    <w:p w:rsidR="004B7953" w:rsidRPr="00BF3C87" w:rsidRDefault="004B7953" w:rsidP="004B7953">
      <w:pPr>
        <w:pStyle w:val="Para1"/>
        <w:numPr>
          <w:ilvl w:val="0"/>
          <w:numId w:val="34"/>
        </w:numPr>
        <w:ind w:firstLine="720"/>
        <w:rPr>
          <w:kern w:val="22"/>
        </w:rPr>
      </w:pPr>
      <w:r w:rsidRPr="00304E14">
        <w:rPr>
          <w:i/>
          <w:iCs/>
          <w:kern w:val="22"/>
          <w:szCs w:val="22"/>
        </w:rPr>
        <w:t>отмеча</w:t>
      </w:r>
      <w:r w:rsidR="00FC1020">
        <w:rPr>
          <w:i/>
          <w:iCs/>
          <w:kern w:val="22"/>
          <w:szCs w:val="22"/>
        </w:rPr>
        <w:t>ет</w:t>
      </w:r>
      <w:r w:rsidRPr="00304E14">
        <w:rPr>
          <w:iCs/>
          <w:kern w:val="22"/>
          <w:szCs w:val="22"/>
        </w:rPr>
        <w:t xml:space="preserve"> важность шестых национальных докладов для подготовки пятого издания </w:t>
      </w:r>
      <w:r w:rsidRPr="00304E14">
        <w:rPr>
          <w:kern w:val="22"/>
          <w:szCs w:val="22"/>
        </w:rPr>
        <w:t xml:space="preserve">Глобальной перспективы в области </w:t>
      </w:r>
      <w:r w:rsidR="00FC1020" w:rsidRPr="00FC1020">
        <w:rPr>
          <w:kern w:val="22"/>
          <w:szCs w:val="22"/>
        </w:rPr>
        <w:t>биоразнообразия</w:t>
      </w:r>
      <w:r w:rsidR="00FC1020">
        <w:rPr>
          <w:kern w:val="22"/>
          <w:szCs w:val="22"/>
        </w:rPr>
        <w:t>,</w:t>
      </w:r>
      <w:r w:rsidRPr="00304E14">
        <w:rPr>
          <w:iCs/>
          <w:kern w:val="22"/>
          <w:szCs w:val="22"/>
        </w:rPr>
        <w:t xml:space="preserve"> </w:t>
      </w:r>
      <w:r w:rsidR="00FC1020" w:rsidRPr="00FC1020">
        <w:rPr>
          <w:i/>
          <w:iCs/>
          <w:kern w:val="22"/>
          <w:szCs w:val="22"/>
        </w:rPr>
        <w:t>ссылается</w:t>
      </w:r>
      <w:r w:rsidRPr="00304E14">
        <w:rPr>
          <w:iCs/>
          <w:kern w:val="22"/>
          <w:szCs w:val="22"/>
        </w:rPr>
        <w:t xml:space="preserve"> на </w:t>
      </w:r>
      <w:hyperlink r:id="rId13" w:history="1">
        <w:r w:rsidRPr="00304E14">
          <w:rPr>
            <w:rStyle w:val="Lienhypertexte"/>
            <w:sz w:val="22"/>
            <w:szCs w:val="22"/>
          </w:rPr>
          <w:t>решение XIII/27</w:t>
        </w:r>
      </w:hyperlink>
      <w:r w:rsidR="00FC1020">
        <w:rPr>
          <w:iCs/>
          <w:kern w:val="22"/>
          <w:szCs w:val="22"/>
        </w:rPr>
        <w:t xml:space="preserve"> и</w:t>
      </w:r>
      <w:r w:rsidRPr="00304E14">
        <w:rPr>
          <w:iCs/>
          <w:kern w:val="22"/>
          <w:szCs w:val="22"/>
        </w:rPr>
        <w:t xml:space="preserve"> </w:t>
      </w:r>
      <w:r w:rsidRPr="00304E14">
        <w:rPr>
          <w:i/>
          <w:iCs/>
          <w:kern w:val="22"/>
          <w:szCs w:val="22"/>
        </w:rPr>
        <w:t>настоятельно призывает</w:t>
      </w:r>
      <w:r w:rsidRPr="00304E14">
        <w:rPr>
          <w:iCs/>
          <w:kern w:val="22"/>
          <w:szCs w:val="22"/>
        </w:rPr>
        <w:t xml:space="preserve"> Стороны представить свои шестые национальные доклады </w:t>
      </w:r>
      <w:r w:rsidR="00FC1020">
        <w:rPr>
          <w:iCs/>
          <w:kern w:val="22"/>
          <w:szCs w:val="22"/>
        </w:rPr>
        <w:t>не позднее 31 декабря 2018 года;</w:t>
      </w:r>
    </w:p>
    <w:p w:rsidR="004B7953" w:rsidRPr="00AD4E56" w:rsidRDefault="004B7953" w:rsidP="00FC1020">
      <w:pPr>
        <w:pStyle w:val="Para1"/>
        <w:numPr>
          <w:ilvl w:val="0"/>
          <w:numId w:val="34"/>
        </w:numPr>
        <w:ind w:firstLine="720"/>
        <w:rPr>
          <w:kern w:val="22"/>
        </w:rPr>
      </w:pPr>
      <w:r>
        <w:rPr>
          <w:i/>
          <w:iCs/>
          <w:kern w:val="22"/>
          <w:szCs w:val="22"/>
        </w:rPr>
        <w:t xml:space="preserve">признает </w:t>
      </w:r>
      <w:r>
        <w:rPr>
          <w:iCs/>
          <w:kern w:val="22"/>
          <w:szCs w:val="22"/>
        </w:rPr>
        <w:t>вклад Глобального партнерства по сохранению растений в осуществлени</w:t>
      </w:r>
      <w:r w:rsidR="00FC1020">
        <w:rPr>
          <w:iCs/>
          <w:kern w:val="22"/>
          <w:szCs w:val="22"/>
        </w:rPr>
        <w:t>е</w:t>
      </w:r>
      <w:r>
        <w:rPr>
          <w:iCs/>
          <w:kern w:val="22"/>
          <w:szCs w:val="22"/>
        </w:rPr>
        <w:t xml:space="preserve"> и в обзор хода работ по </w:t>
      </w:r>
      <w:r w:rsidR="00FC1020">
        <w:rPr>
          <w:iCs/>
          <w:kern w:val="22"/>
          <w:szCs w:val="22"/>
        </w:rPr>
        <w:t>выполнению</w:t>
      </w:r>
      <w:r>
        <w:rPr>
          <w:iCs/>
          <w:kern w:val="22"/>
          <w:szCs w:val="22"/>
        </w:rPr>
        <w:t xml:space="preserve"> Глобальной стратегии сохранени</w:t>
      </w:r>
      <w:r w:rsidR="00FC1020">
        <w:rPr>
          <w:iCs/>
          <w:kern w:val="22"/>
          <w:szCs w:val="22"/>
        </w:rPr>
        <w:t>я</w:t>
      </w:r>
      <w:r>
        <w:rPr>
          <w:iCs/>
          <w:kern w:val="22"/>
          <w:szCs w:val="22"/>
        </w:rPr>
        <w:t xml:space="preserve"> растений и </w:t>
      </w:r>
      <w:r>
        <w:rPr>
          <w:i/>
          <w:iCs/>
          <w:kern w:val="22"/>
          <w:szCs w:val="22"/>
        </w:rPr>
        <w:t xml:space="preserve">поручает </w:t>
      </w:r>
      <w:r w:rsidRPr="00FC1020">
        <w:rPr>
          <w:iCs/>
          <w:kern w:val="22"/>
          <w:szCs w:val="22"/>
        </w:rPr>
        <w:t>Исполнительному</w:t>
      </w:r>
      <w:r>
        <w:rPr>
          <w:iCs/>
          <w:kern w:val="22"/>
          <w:szCs w:val="22"/>
        </w:rPr>
        <w:t xml:space="preserve"> секретарю рассмотреть доклады и оценки в отношении сохранения растений при подготовке </w:t>
      </w:r>
      <w:r w:rsidRPr="00304E14">
        <w:rPr>
          <w:iCs/>
          <w:kern w:val="22"/>
          <w:szCs w:val="22"/>
        </w:rPr>
        <w:t>пято</w:t>
      </w:r>
      <w:r>
        <w:rPr>
          <w:iCs/>
          <w:kern w:val="22"/>
          <w:szCs w:val="22"/>
        </w:rPr>
        <w:t>го</w:t>
      </w:r>
      <w:r w:rsidRPr="00304E14">
        <w:rPr>
          <w:iCs/>
          <w:kern w:val="22"/>
          <w:szCs w:val="22"/>
        </w:rPr>
        <w:t xml:space="preserve"> издани</w:t>
      </w:r>
      <w:r>
        <w:rPr>
          <w:iCs/>
          <w:kern w:val="22"/>
          <w:szCs w:val="22"/>
        </w:rPr>
        <w:t>я</w:t>
      </w:r>
      <w:r w:rsidRPr="00304E14">
        <w:rPr>
          <w:iCs/>
          <w:kern w:val="22"/>
          <w:szCs w:val="22"/>
        </w:rPr>
        <w:t xml:space="preserve"> </w:t>
      </w:r>
      <w:r w:rsidRPr="00AD4E56">
        <w:rPr>
          <w:iCs/>
          <w:kern w:val="22"/>
          <w:szCs w:val="22"/>
        </w:rPr>
        <w:t>Глобальной перспективы в области биоразнообразия;</w:t>
      </w:r>
    </w:p>
    <w:p w:rsidR="004B7953" w:rsidRPr="00304E14" w:rsidRDefault="004B7953" w:rsidP="004B7953">
      <w:pPr>
        <w:pStyle w:val="Para1"/>
        <w:numPr>
          <w:ilvl w:val="0"/>
          <w:numId w:val="34"/>
        </w:numPr>
        <w:ind w:firstLine="720"/>
        <w:rPr>
          <w:iCs/>
          <w:kern w:val="22"/>
          <w:szCs w:val="22"/>
        </w:rPr>
      </w:pPr>
      <w:proofErr w:type="gramStart"/>
      <w:r w:rsidRPr="00304E14">
        <w:rPr>
          <w:i/>
          <w:iCs/>
          <w:kern w:val="22"/>
          <w:szCs w:val="22"/>
        </w:rPr>
        <w:t>также ссылается</w:t>
      </w:r>
      <w:r w:rsidRPr="00304E14">
        <w:rPr>
          <w:kern w:val="22"/>
          <w:szCs w:val="22"/>
        </w:rPr>
        <w:t xml:space="preserve"> на </w:t>
      </w:r>
      <w:hyperlink r:id="rId14" w:history="1">
        <w:r w:rsidRPr="00304E14">
          <w:rPr>
            <w:rStyle w:val="Lienhypertexte"/>
            <w:sz w:val="22"/>
            <w:szCs w:val="22"/>
          </w:rPr>
          <w:t>решение XI/2</w:t>
        </w:r>
      </w:hyperlink>
      <w:r w:rsidRPr="00304E14">
        <w:rPr>
          <w:iCs/>
          <w:kern w:val="22"/>
          <w:szCs w:val="22"/>
        </w:rPr>
        <w:t xml:space="preserve"> и </w:t>
      </w:r>
      <w:r w:rsidRPr="00304E14">
        <w:rPr>
          <w:i/>
          <w:iCs/>
          <w:kern w:val="22"/>
          <w:szCs w:val="22"/>
        </w:rPr>
        <w:t>подчеркивает</w:t>
      </w:r>
      <w:r w:rsidRPr="00304E14">
        <w:rPr>
          <w:iCs/>
          <w:kern w:val="22"/>
          <w:szCs w:val="22"/>
        </w:rPr>
        <w:t xml:space="preserve"> тот факт, что глобальная и региональн</w:t>
      </w:r>
      <w:r w:rsidR="00FC1020">
        <w:rPr>
          <w:iCs/>
          <w:kern w:val="22"/>
          <w:szCs w:val="22"/>
        </w:rPr>
        <w:t>ая</w:t>
      </w:r>
      <w:r w:rsidRPr="00304E14">
        <w:rPr>
          <w:iCs/>
          <w:kern w:val="22"/>
          <w:szCs w:val="22"/>
        </w:rPr>
        <w:t xml:space="preserve"> оценк</w:t>
      </w:r>
      <w:r w:rsidR="00FC1020">
        <w:rPr>
          <w:iCs/>
          <w:kern w:val="22"/>
          <w:szCs w:val="22"/>
        </w:rPr>
        <w:t>а</w:t>
      </w:r>
      <w:r w:rsidRPr="00304E14">
        <w:rPr>
          <w:iCs/>
          <w:kern w:val="22"/>
          <w:szCs w:val="22"/>
        </w:rPr>
        <w:t xml:space="preserve"> биоразнообразия и экосистемных услуг и тематические оценки, проведенные Межправительственной научно-политической платформой по биоразнообразию и экосистемным услугам, а также другие соответствующие национальные и субрегиональные оценки обеспечивают важную </w:t>
      </w:r>
      <w:proofErr w:type="spellStart"/>
      <w:r w:rsidR="007A59CD">
        <w:rPr>
          <w:iCs/>
          <w:kern w:val="22"/>
          <w:szCs w:val="22"/>
        </w:rPr>
        <w:t>фактологическую</w:t>
      </w:r>
      <w:proofErr w:type="spellEnd"/>
      <w:r w:rsidR="007A59CD">
        <w:rPr>
          <w:iCs/>
          <w:kern w:val="22"/>
          <w:szCs w:val="22"/>
        </w:rPr>
        <w:t xml:space="preserve"> </w:t>
      </w:r>
      <w:r w:rsidRPr="00304E14">
        <w:rPr>
          <w:iCs/>
          <w:kern w:val="22"/>
          <w:szCs w:val="22"/>
        </w:rPr>
        <w:t xml:space="preserve">базу для оценки </w:t>
      </w:r>
      <w:r w:rsidR="00026BBF">
        <w:rPr>
          <w:iCs/>
          <w:kern w:val="22"/>
          <w:szCs w:val="22"/>
        </w:rPr>
        <w:t>прогресса выполнения</w:t>
      </w:r>
      <w:r w:rsidRPr="00304E14">
        <w:rPr>
          <w:iCs/>
          <w:kern w:val="22"/>
          <w:szCs w:val="22"/>
        </w:rPr>
        <w:t xml:space="preserve"> целевых задач по сохранению и устойчивому использованию биоразнообразия, принятых в Айти, в пятом</w:t>
      </w:r>
      <w:proofErr w:type="gramEnd"/>
      <w:r w:rsidRPr="00304E14">
        <w:rPr>
          <w:iCs/>
          <w:kern w:val="22"/>
          <w:szCs w:val="22"/>
        </w:rPr>
        <w:t xml:space="preserve"> </w:t>
      </w:r>
      <w:proofErr w:type="gramStart"/>
      <w:r w:rsidRPr="00304E14">
        <w:rPr>
          <w:iCs/>
          <w:kern w:val="22"/>
          <w:szCs w:val="22"/>
        </w:rPr>
        <w:t>издании</w:t>
      </w:r>
      <w:proofErr w:type="gramEnd"/>
      <w:r w:rsidRPr="00304E14">
        <w:rPr>
          <w:iCs/>
          <w:kern w:val="22"/>
          <w:szCs w:val="22"/>
        </w:rPr>
        <w:t xml:space="preserve"> Глобальной перспективы в области биоразнообразия;</w:t>
      </w:r>
    </w:p>
    <w:p w:rsidR="004B7953" w:rsidRPr="00304E14" w:rsidRDefault="004B7953" w:rsidP="004B7953">
      <w:pPr>
        <w:pStyle w:val="Para1"/>
        <w:numPr>
          <w:ilvl w:val="0"/>
          <w:numId w:val="34"/>
        </w:numPr>
        <w:ind w:firstLine="720"/>
        <w:rPr>
          <w:kern w:val="22"/>
          <w:szCs w:val="22"/>
        </w:rPr>
      </w:pPr>
      <w:r w:rsidRPr="00304E14">
        <w:rPr>
          <w:i/>
          <w:kern w:val="22"/>
          <w:szCs w:val="22"/>
        </w:rPr>
        <w:t xml:space="preserve">принимает к сведению </w:t>
      </w:r>
      <w:r w:rsidRPr="00304E14">
        <w:rPr>
          <w:kern w:val="22"/>
          <w:szCs w:val="22"/>
        </w:rPr>
        <w:t>план и смету расходов по подготовке пятого издания Глобальной перспективы в области биоразнообразия</w:t>
      </w:r>
      <w:r w:rsidRPr="00304E14">
        <w:rPr>
          <w:iCs/>
          <w:kern w:val="22"/>
          <w:szCs w:val="22"/>
        </w:rPr>
        <w:t>,</w:t>
      </w:r>
      <w:r w:rsidRPr="00304E14">
        <w:rPr>
          <w:kern w:val="22"/>
          <w:szCs w:val="22"/>
        </w:rPr>
        <w:t xml:space="preserve"> включая ориентировочный график, приведенный в приложении к настоящему решению, и </w:t>
      </w:r>
      <w:r w:rsidRPr="00304E14">
        <w:rPr>
          <w:i/>
          <w:kern w:val="22"/>
          <w:szCs w:val="22"/>
        </w:rPr>
        <w:t>поручает</w:t>
      </w:r>
      <w:r w:rsidRPr="00304E14">
        <w:rPr>
          <w:kern w:val="22"/>
          <w:szCs w:val="22"/>
        </w:rPr>
        <w:t xml:space="preserve"> Исполнительному секретарю:</w:t>
      </w:r>
    </w:p>
    <w:p w:rsidR="004B7953" w:rsidRPr="00304E14" w:rsidRDefault="004B7953" w:rsidP="004B7953">
      <w:pPr>
        <w:pStyle w:val="Para1"/>
        <w:numPr>
          <w:ilvl w:val="1"/>
          <w:numId w:val="2"/>
        </w:numPr>
        <w:tabs>
          <w:tab w:val="clear" w:pos="1440"/>
        </w:tabs>
        <w:rPr>
          <w:kern w:val="22"/>
          <w:szCs w:val="22"/>
        </w:rPr>
      </w:pPr>
      <w:r w:rsidRPr="00304E14">
        <w:rPr>
          <w:bCs/>
          <w:kern w:val="22"/>
          <w:szCs w:val="22"/>
        </w:rPr>
        <w:t>подготовить</w:t>
      </w:r>
      <w:r w:rsidRPr="00304E14">
        <w:rPr>
          <w:kern w:val="22"/>
          <w:szCs w:val="22"/>
        </w:rPr>
        <w:t xml:space="preserve"> пятое издание Глобальной перспективы в области биоразнообразия, включая резюме для лиц</w:t>
      </w:r>
      <w:r w:rsidRPr="00304E14">
        <w:rPr>
          <w:i/>
          <w:kern w:val="22"/>
          <w:szCs w:val="22"/>
        </w:rPr>
        <w:t>,</w:t>
      </w:r>
      <w:r w:rsidRPr="00304E14">
        <w:rPr>
          <w:kern w:val="22"/>
          <w:szCs w:val="22"/>
        </w:rPr>
        <w:t xml:space="preserve"> ответственных за разработку политики, на основе этого плана</w:t>
      </w:r>
      <w:r w:rsidRPr="00304E14">
        <w:rPr>
          <w:bCs/>
          <w:kern w:val="22"/>
          <w:szCs w:val="22"/>
        </w:rPr>
        <w:t>;</w:t>
      </w:r>
    </w:p>
    <w:p w:rsidR="004B7953" w:rsidRPr="00304E14" w:rsidRDefault="004B7953" w:rsidP="004B7953">
      <w:pPr>
        <w:pStyle w:val="Para1"/>
        <w:numPr>
          <w:ilvl w:val="1"/>
          <w:numId w:val="2"/>
        </w:numPr>
        <w:rPr>
          <w:kern w:val="22"/>
          <w:szCs w:val="22"/>
        </w:rPr>
      </w:pPr>
      <w:r w:rsidRPr="00304E14">
        <w:rPr>
          <w:bCs/>
          <w:kern w:val="22"/>
          <w:szCs w:val="22"/>
        </w:rPr>
        <w:lastRenderedPageBreak/>
        <w:t>известить соответствующих партнеров и потенциальных участников о графике подготовки пятого издания Глобальной перспективы в области биоразнообразия и связанных с ним соответствующих изданий;</w:t>
      </w:r>
    </w:p>
    <w:p w:rsidR="004B7953" w:rsidRPr="00304E14" w:rsidRDefault="004B7953" w:rsidP="004B7953">
      <w:pPr>
        <w:pStyle w:val="Para1"/>
        <w:numPr>
          <w:ilvl w:val="1"/>
          <w:numId w:val="2"/>
        </w:numPr>
        <w:rPr>
          <w:kern w:val="22"/>
          <w:szCs w:val="22"/>
        </w:rPr>
      </w:pPr>
      <w:proofErr w:type="gramStart"/>
      <w:r w:rsidRPr="00304E14">
        <w:rPr>
          <w:bCs/>
          <w:kern w:val="22"/>
          <w:szCs w:val="22"/>
        </w:rPr>
        <w:t xml:space="preserve">продолжать сотрудничество с другими конвенциями, связанными с биоразнообразием, и другими соответствующими процессами и организациями в ходе подготовки и обзора пятого издания Глобальной перспективы в области биоразнообразия, когда это уместно и согласно их соответствующим мандатам, включая в частности Межправительственную научно-политическую платформу по биоразнообразию и экосистемным услугам и Продовольственную и сельскохозяйственную организацию Объединенных Наций; </w:t>
      </w:r>
      <w:proofErr w:type="gramEnd"/>
    </w:p>
    <w:p w:rsidR="004B7953" w:rsidRPr="00304E14" w:rsidRDefault="004B7953" w:rsidP="004B7953">
      <w:pPr>
        <w:pStyle w:val="Para1"/>
        <w:numPr>
          <w:ilvl w:val="1"/>
          <w:numId w:val="2"/>
        </w:numPr>
        <w:rPr>
          <w:kern w:val="22"/>
          <w:szCs w:val="22"/>
        </w:rPr>
      </w:pPr>
      <w:r w:rsidRPr="00304E14">
        <w:rPr>
          <w:kern w:val="22"/>
          <w:szCs w:val="22"/>
        </w:rPr>
        <w:t xml:space="preserve">принимать во внимание выводы, сделанные на 21-м совещании Вспомогательного органа по научным, техническим и технологическим консультациям </w:t>
      </w:r>
      <w:r w:rsidR="00EB4014">
        <w:rPr>
          <w:kern w:val="22"/>
          <w:szCs w:val="22"/>
        </w:rPr>
        <w:t>в отношении</w:t>
      </w:r>
      <w:r w:rsidRPr="00304E14">
        <w:rPr>
          <w:kern w:val="22"/>
          <w:szCs w:val="22"/>
        </w:rPr>
        <w:t xml:space="preserve"> сценариев Концепции в области биоразнообразия на период до 2050 года, приведенных в приложении к решению COP/14/</w:t>
      </w:r>
      <w:r w:rsidR="00FC1020">
        <w:rPr>
          <w:kern w:val="22"/>
          <w:szCs w:val="22"/>
        </w:rPr>
        <w:t>2</w:t>
      </w:r>
      <w:r w:rsidRPr="00D47588">
        <w:rPr>
          <w:rStyle w:val="Appelnotedebasdep"/>
          <w:rFonts w:eastAsiaTheme="majorEastAsia"/>
          <w:snapToGrid/>
          <w:kern w:val="22"/>
          <w:sz w:val="22"/>
          <w:szCs w:val="22"/>
        </w:rPr>
        <w:footnoteReference w:id="3"/>
      </w:r>
      <w:r w:rsidRPr="00304E14">
        <w:rPr>
          <w:kern w:val="22"/>
          <w:szCs w:val="22"/>
        </w:rPr>
        <w:t xml:space="preserve">; </w:t>
      </w:r>
    </w:p>
    <w:p w:rsidR="004B7953" w:rsidRPr="00304E14" w:rsidRDefault="004B7953" w:rsidP="004B7953">
      <w:pPr>
        <w:pStyle w:val="Para1"/>
        <w:numPr>
          <w:ilvl w:val="0"/>
          <w:numId w:val="34"/>
        </w:numPr>
        <w:ind w:firstLine="720"/>
        <w:rPr>
          <w:iCs/>
          <w:kern w:val="22"/>
          <w:szCs w:val="22"/>
        </w:rPr>
      </w:pPr>
      <w:proofErr w:type="gramStart"/>
      <w:r w:rsidRPr="00304E14">
        <w:rPr>
          <w:i/>
          <w:iCs/>
          <w:kern w:val="22"/>
          <w:szCs w:val="22"/>
        </w:rPr>
        <w:t>настоятельно призывает</w:t>
      </w:r>
      <w:r w:rsidRPr="00304E14">
        <w:rPr>
          <w:iCs/>
          <w:kern w:val="22"/>
          <w:szCs w:val="22"/>
        </w:rPr>
        <w:t xml:space="preserve"> Стороны и </w:t>
      </w:r>
      <w:r w:rsidRPr="00304E14">
        <w:rPr>
          <w:i/>
          <w:iCs/>
          <w:kern w:val="22"/>
          <w:szCs w:val="22"/>
        </w:rPr>
        <w:t>предлагает</w:t>
      </w:r>
      <w:r w:rsidRPr="00304E14">
        <w:rPr>
          <w:iCs/>
          <w:kern w:val="22"/>
          <w:szCs w:val="22"/>
        </w:rPr>
        <w:t xml:space="preserve"> другим правительствам и соответствующим организациям распространять </w:t>
      </w:r>
      <w:r w:rsidR="007A59CD">
        <w:rPr>
          <w:iCs/>
          <w:kern w:val="22"/>
          <w:szCs w:val="22"/>
        </w:rPr>
        <w:t xml:space="preserve">в </w:t>
      </w:r>
      <w:r w:rsidRPr="00304E14">
        <w:rPr>
          <w:iCs/>
          <w:kern w:val="22"/>
          <w:szCs w:val="22"/>
        </w:rPr>
        <w:t>открыт</w:t>
      </w:r>
      <w:r w:rsidR="007A59CD">
        <w:rPr>
          <w:iCs/>
          <w:kern w:val="22"/>
          <w:szCs w:val="22"/>
        </w:rPr>
        <w:t>ом доступе</w:t>
      </w:r>
      <w:r w:rsidRPr="00304E14">
        <w:rPr>
          <w:iCs/>
          <w:kern w:val="22"/>
          <w:szCs w:val="22"/>
        </w:rPr>
        <w:t xml:space="preserve"> точные и </w:t>
      </w:r>
      <w:r w:rsidR="00D47588">
        <w:rPr>
          <w:iCs/>
          <w:kern w:val="22"/>
          <w:szCs w:val="22"/>
        </w:rPr>
        <w:t>достоверные</w:t>
      </w:r>
      <w:r w:rsidRPr="00304E14">
        <w:rPr>
          <w:iCs/>
          <w:kern w:val="22"/>
          <w:szCs w:val="22"/>
        </w:rPr>
        <w:t xml:space="preserve"> данные</w:t>
      </w:r>
      <w:r w:rsidR="007A59CD">
        <w:rPr>
          <w:iCs/>
          <w:kern w:val="22"/>
          <w:szCs w:val="22"/>
        </w:rPr>
        <w:t xml:space="preserve">, а также </w:t>
      </w:r>
      <w:r w:rsidRPr="00304E14">
        <w:rPr>
          <w:iCs/>
          <w:kern w:val="22"/>
          <w:szCs w:val="22"/>
        </w:rPr>
        <w:t>обновление данных о</w:t>
      </w:r>
      <w:r w:rsidRPr="00304E14">
        <w:t xml:space="preserve"> </w:t>
      </w:r>
      <w:r w:rsidRPr="00304E14">
        <w:rPr>
          <w:iCs/>
          <w:kern w:val="22"/>
          <w:szCs w:val="22"/>
        </w:rPr>
        <w:t>состоянии биологического разнообразия, прогнозах и угроз</w:t>
      </w:r>
      <w:r w:rsidR="007A59CD">
        <w:rPr>
          <w:iCs/>
          <w:kern w:val="22"/>
          <w:szCs w:val="22"/>
        </w:rPr>
        <w:t>ах</w:t>
      </w:r>
      <w:r w:rsidRPr="00304E14">
        <w:rPr>
          <w:iCs/>
          <w:kern w:val="22"/>
          <w:szCs w:val="22"/>
        </w:rPr>
        <w:t xml:space="preserve"> в этой области</w:t>
      </w:r>
      <w:r w:rsidR="007A59CD">
        <w:rPr>
          <w:iCs/>
          <w:kern w:val="22"/>
          <w:szCs w:val="22"/>
        </w:rPr>
        <w:t>, а также</w:t>
      </w:r>
      <w:r w:rsidRPr="00304E14">
        <w:rPr>
          <w:iCs/>
          <w:kern w:val="22"/>
          <w:szCs w:val="22"/>
        </w:rPr>
        <w:t xml:space="preserve"> о </w:t>
      </w:r>
      <w:r w:rsidR="007A59CD">
        <w:rPr>
          <w:iCs/>
          <w:kern w:val="22"/>
          <w:szCs w:val="22"/>
        </w:rPr>
        <w:t xml:space="preserve">прогрессе в </w:t>
      </w:r>
      <w:r w:rsidRPr="00304E14">
        <w:rPr>
          <w:iCs/>
          <w:kern w:val="22"/>
          <w:szCs w:val="22"/>
        </w:rPr>
        <w:t>осуществлени</w:t>
      </w:r>
      <w:r w:rsidR="007A59CD">
        <w:rPr>
          <w:iCs/>
          <w:kern w:val="22"/>
          <w:szCs w:val="22"/>
        </w:rPr>
        <w:t>и</w:t>
      </w:r>
      <w:r w:rsidRPr="00304E14">
        <w:rPr>
          <w:iCs/>
          <w:kern w:val="22"/>
          <w:szCs w:val="22"/>
        </w:rPr>
        <w:t xml:space="preserve"> Конвенции и Стратегического плана в области сохранения и устойчивого использования биоразнообразия на 2011-2020 годы, включая</w:t>
      </w:r>
      <w:r w:rsidRPr="00304E14">
        <w:t xml:space="preserve"> мероприятия по </w:t>
      </w:r>
      <w:r w:rsidRPr="00304E14">
        <w:rPr>
          <w:iCs/>
          <w:kern w:val="22"/>
          <w:szCs w:val="22"/>
        </w:rPr>
        <w:t>актуализации тематики</w:t>
      </w:r>
      <w:r w:rsidR="00D47588">
        <w:rPr>
          <w:iCs/>
          <w:kern w:val="22"/>
          <w:szCs w:val="22"/>
        </w:rPr>
        <w:t xml:space="preserve"> биоразнообразия</w:t>
      </w:r>
      <w:r w:rsidRPr="00304E14">
        <w:rPr>
          <w:iCs/>
          <w:kern w:val="22"/>
          <w:szCs w:val="22"/>
        </w:rPr>
        <w:t xml:space="preserve">; </w:t>
      </w:r>
      <w:proofErr w:type="gramEnd"/>
    </w:p>
    <w:p w:rsidR="004B7953" w:rsidRPr="00304E14" w:rsidRDefault="004B7953" w:rsidP="004B7953">
      <w:pPr>
        <w:pStyle w:val="Para1"/>
        <w:numPr>
          <w:ilvl w:val="0"/>
          <w:numId w:val="34"/>
        </w:numPr>
        <w:ind w:firstLine="720"/>
        <w:rPr>
          <w:kern w:val="22"/>
          <w:szCs w:val="22"/>
        </w:rPr>
      </w:pPr>
      <w:r w:rsidRPr="00304E14">
        <w:rPr>
          <w:i/>
          <w:iCs/>
          <w:kern w:val="22"/>
          <w:szCs w:val="22"/>
        </w:rPr>
        <w:t>предлагает</w:t>
      </w:r>
      <w:r w:rsidRPr="00304E14">
        <w:rPr>
          <w:iCs/>
          <w:kern w:val="22"/>
          <w:szCs w:val="22"/>
        </w:rPr>
        <w:t xml:space="preserve"> Сторонам, другим правительствам и соответствующим организациям по мере возможности вносить своевременные финансовые вклады для подготовки и выпуска пятого издания Глобальной перспективы в области биоразнообразия и связанных с ним изданий, включая второе издание Местной перспективы в области биоразнообразия</w:t>
      </w:r>
      <w:r>
        <w:rPr>
          <w:iCs/>
          <w:kern w:val="22"/>
          <w:szCs w:val="22"/>
        </w:rPr>
        <w:t xml:space="preserve"> и оценку осуществления</w:t>
      </w:r>
      <w:bookmarkStart w:id="2" w:name="_GoBack"/>
      <w:bookmarkEnd w:id="2"/>
      <w:r>
        <w:rPr>
          <w:iCs/>
          <w:kern w:val="22"/>
          <w:szCs w:val="22"/>
        </w:rPr>
        <w:t xml:space="preserve"> Глобальной стратегии сохранени</w:t>
      </w:r>
      <w:r w:rsidR="007A59CD">
        <w:rPr>
          <w:iCs/>
          <w:kern w:val="22"/>
          <w:szCs w:val="22"/>
        </w:rPr>
        <w:t>я</w:t>
      </w:r>
      <w:r>
        <w:rPr>
          <w:iCs/>
          <w:kern w:val="22"/>
          <w:szCs w:val="22"/>
        </w:rPr>
        <w:t xml:space="preserve"> растений</w:t>
      </w:r>
      <w:r w:rsidRPr="00304E14">
        <w:rPr>
          <w:iCs/>
          <w:kern w:val="22"/>
          <w:szCs w:val="22"/>
        </w:rPr>
        <w:t xml:space="preserve"> </w:t>
      </w:r>
      <w:r>
        <w:rPr>
          <w:iCs/>
          <w:kern w:val="22"/>
          <w:szCs w:val="22"/>
        </w:rPr>
        <w:t>на 2011-2020 годы.</w:t>
      </w:r>
      <w:r>
        <w:rPr>
          <w:iCs/>
          <w:kern w:val="22"/>
          <w:szCs w:val="22"/>
          <w:lang w:val="fr-FR"/>
        </w:rPr>
        <w:t xml:space="preserve"> </w:t>
      </w:r>
    </w:p>
    <w:p w:rsidR="004B7953" w:rsidRPr="00304E14" w:rsidRDefault="004B7953" w:rsidP="004B7953">
      <w:pPr>
        <w:pStyle w:val="Para1"/>
        <w:snapToGrid w:val="0"/>
        <w:spacing w:before="0" w:after="0"/>
        <w:jc w:val="left"/>
        <w:rPr>
          <w:iCs/>
          <w:snapToGrid/>
          <w:kern w:val="22"/>
          <w:szCs w:val="22"/>
        </w:rPr>
      </w:pPr>
    </w:p>
    <w:p w:rsidR="004B7953" w:rsidRPr="00304E14" w:rsidRDefault="004B7953" w:rsidP="004B7953">
      <w:pPr>
        <w:pStyle w:val="Para1"/>
        <w:spacing w:before="0" w:after="0"/>
        <w:jc w:val="center"/>
        <w:rPr>
          <w:i/>
          <w:iCs/>
          <w:kern w:val="22"/>
          <w:szCs w:val="22"/>
        </w:rPr>
      </w:pPr>
      <w:r w:rsidRPr="00304E14">
        <w:rPr>
          <w:i/>
          <w:iCs/>
          <w:kern w:val="22"/>
          <w:szCs w:val="22"/>
        </w:rPr>
        <w:t>Приложение</w:t>
      </w:r>
    </w:p>
    <w:p w:rsidR="004B7953" w:rsidRPr="00304E14" w:rsidRDefault="004B7953" w:rsidP="004B7953">
      <w:pPr>
        <w:pStyle w:val="Para1"/>
        <w:keepNext/>
        <w:keepLines/>
        <w:spacing w:before="0" w:after="0"/>
        <w:ind w:left="720"/>
        <w:jc w:val="center"/>
        <w:rPr>
          <w:b/>
          <w:kern w:val="22"/>
          <w:szCs w:val="22"/>
        </w:rPr>
      </w:pPr>
      <w:r w:rsidRPr="00304E14">
        <w:rPr>
          <w:b/>
          <w:kern w:val="22"/>
          <w:sz w:val="20"/>
          <w:szCs w:val="20"/>
        </w:rPr>
        <w:t xml:space="preserve">Ориентировочный график подготовки пятого издания </w:t>
      </w:r>
      <w:r w:rsidR="007A59CD">
        <w:rPr>
          <w:b/>
          <w:kern w:val="22"/>
          <w:sz w:val="20"/>
          <w:szCs w:val="20"/>
        </w:rPr>
        <w:br/>
      </w:r>
      <w:r w:rsidRPr="00304E14">
        <w:rPr>
          <w:b/>
          <w:kern w:val="22"/>
          <w:sz w:val="20"/>
          <w:szCs w:val="20"/>
        </w:rPr>
        <w:t>Глобальной перспективы в области биоразнообразия</w:t>
      </w:r>
    </w:p>
    <w:p w:rsidR="004B7953" w:rsidRPr="00B4306E" w:rsidRDefault="00EB4014" w:rsidP="004B7953">
      <w:pPr>
        <w:pStyle w:val="Para1"/>
        <w:keepNext/>
        <w:keepLines/>
        <w:pBdr>
          <w:top w:val="single" w:sz="4" w:space="1" w:color="auto"/>
          <w:bottom w:val="single" w:sz="4" w:space="1" w:color="auto"/>
        </w:pBdr>
        <w:tabs>
          <w:tab w:val="left" w:pos="5280"/>
          <w:tab w:val="left" w:pos="7938"/>
        </w:tabs>
        <w:spacing w:before="0" w:after="0"/>
        <w:ind w:left="720" w:right="1422"/>
        <w:rPr>
          <w:i/>
          <w:kern w:val="22"/>
          <w:sz w:val="20"/>
          <w:szCs w:val="20"/>
        </w:rPr>
      </w:pPr>
      <w:r>
        <w:rPr>
          <w:i/>
          <w:kern w:val="22"/>
          <w:sz w:val="20"/>
          <w:szCs w:val="20"/>
        </w:rPr>
        <w:t>Издание</w:t>
      </w:r>
      <w:r w:rsidR="004B7953" w:rsidRPr="00B4306E">
        <w:rPr>
          <w:i/>
          <w:kern w:val="22"/>
          <w:sz w:val="20"/>
          <w:szCs w:val="20"/>
        </w:rPr>
        <w:t>/элемент</w:t>
      </w:r>
      <w:r w:rsidR="004B7953" w:rsidRPr="00B4306E">
        <w:rPr>
          <w:i/>
          <w:kern w:val="22"/>
          <w:sz w:val="20"/>
          <w:szCs w:val="20"/>
        </w:rPr>
        <w:tab/>
        <w:t>Сроки</w:t>
      </w:r>
    </w:p>
    <w:p w:rsidR="004B7953" w:rsidRPr="00304E14" w:rsidRDefault="004B7953" w:rsidP="004B7953">
      <w:pPr>
        <w:pStyle w:val="Para1"/>
        <w:keepNext/>
        <w:keepLines/>
        <w:tabs>
          <w:tab w:val="left" w:pos="5130"/>
        </w:tabs>
        <w:spacing w:before="0" w:after="0"/>
        <w:ind w:left="91" w:firstLine="569"/>
        <w:rPr>
          <w:b/>
          <w:kern w:val="22"/>
          <w:sz w:val="20"/>
          <w:szCs w:val="20"/>
        </w:rPr>
      </w:pPr>
      <w:r w:rsidRPr="00304E14">
        <w:rPr>
          <w:b/>
          <w:kern w:val="22"/>
          <w:sz w:val="20"/>
          <w:szCs w:val="20"/>
        </w:rPr>
        <w:t>Региональные оценки МПБЭУ</w:t>
      </w:r>
      <w:r w:rsidRPr="00304E14">
        <w:rPr>
          <w:b/>
          <w:kern w:val="22"/>
          <w:sz w:val="20"/>
          <w:szCs w:val="20"/>
        </w:rPr>
        <w:tab/>
        <w:t>март 2018 г.</w:t>
      </w:r>
    </w:p>
    <w:p w:rsidR="004B7953" w:rsidRPr="00304E14" w:rsidRDefault="004B7953" w:rsidP="004B7953">
      <w:pPr>
        <w:pStyle w:val="Para1"/>
        <w:keepNext/>
        <w:keepLines/>
        <w:tabs>
          <w:tab w:val="left" w:pos="5130"/>
        </w:tabs>
        <w:spacing w:before="0" w:after="0"/>
        <w:ind w:left="91" w:firstLine="569"/>
        <w:rPr>
          <w:b/>
          <w:kern w:val="22"/>
          <w:sz w:val="20"/>
          <w:szCs w:val="20"/>
        </w:rPr>
      </w:pPr>
      <w:r w:rsidRPr="00304E14">
        <w:rPr>
          <w:b/>
          <w:kern w:val="22"/>
          <w:sz w:val="20"/>
          <w:szCs w:val="20"/>
        </w:rPr>
        <w:t xml:space="preserve">Крайний срок представления </w:t>
      </w:r>
      <w:proofErr w:type="gramStart"/>
      <w:r w:rsidRPr="00304E14">
        <w:rPr>
          <w:b/>
          <w:kern w:val="22"/>
          <w:sz w:val="20"/>
          <w:szCs w:val="20"/>
        </w:rPr>
        <w:t>национальных</w:t>
      </w:r>
      <w:proofErr w:type="gramEnd"/>
      <w:r w:rsidRPr="00304E14">
        <w:rPr>
          <w:b/>
          <w:kern w:val="22"/>
          <w:sz w:val="20"/>
          <w:szCs w:val="20"/>
        </w:rPr>
        <w:t xml:space="preserve">  </w:t>
      </w:r>
    </w:p>
    <w:p w:rsidR="004B7953" w:rsidRPr="00304E14" w:rsidRDefault="004B7953" w:rsidP="004B7953">
      <w:pPr>
        <w:pStyle w:val="Para1"/>
        <w:keepNext/>
        <w:keepLines/>
        <w:tabs>
          <w:tab w:val="left" w:pos="5130"/>
        </w:tabs>
        <w:spacing w:before="0" w:after="0"/>
        <w:ind w:left="91" w:firstLine="569"/>
        <w:rPr>
          <w:i/>
          <w:kern w:val="22"/>
          <w:sz w:val="20"/>
          <w:szCs w:val="20"/>
        </w:rPr>
      </w:pPr>
      <w:r w:rsidRPr="00304E14">
        <w:rPr>
          <w:b/>
          <w:kern w:val="22"/>
          <w:sz w:val="20"/>
          <w:szCs w:val="20"/>
        </w:rPr>
        <w:t>докладов</w:t>
      </w:r>
      <w:r w:rsidRPr="00304E14">
        <w:rPr>
          <w:b/>
          <w:kern w:val="22"/>
          <w:sz w:val="20"/>
          <w:szCs w:val="20"/>
        </w:rPr>
        <w:tab/>
        <w:t>31 декабря 2018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Проект плана доклада </w:t>
      </w:r>
      <w:r w:rsidRPr="00304E14">
        <w:rPr>
          <w:kern w:val="22"/>
          <w:sz w:val="20"/>
          <w:szCs w:val="20"/>
        </w:rPr>
        <w:tab/>
        <w:t>декабрь 2018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Подготовка первых элементов </w:t>
      </w:r>
      <w:r w:rsidR="00EB4014">
        <w:rPr>
          <w:kern w:val="22"/>
          <w:sz w:val="20"/>
          <w:szCs w:val="20"/>
        </w:rPr>
        <w:t>текста</w:t>
      </w:r>
      <w:r w:rsidRPr="00304E14">
        <w:rPr>
          <w:kern w:val="22"/>
          <w:sz w:val="20"/>
          <w:szCs w:val="20"/>
        </w:rPr>
        <w:tab/>
        <w:t>январь 2019 г.</w:t>
      </w:r>
    </w:p>
    <w:p w:rsidR="004B7953" w:rsidRPr="00304E14" w:rsidRDefault="004B7953" w:rsidP="004B7953">
      <w:pPr>
        <w:pStyle w:val="Para1"/>
        <w:keepNext/>
        <w:keepLines/>
        <w:tabs>
          <w:tab w:val="left" w:pos="5130"/>
        </w:tabs>
        <w:spacing w:before="0" w:after="0"/>
        <w:ind w:left="91" w:firstLine="569"/>
        <w:rPr>
          <w:b/>
          <w:kern w:val="22"/>
          <w:sz w:val="20"/>
          <w:szCs w:val="20"/>
        </w:rPr>
      </w:pPr>
      <w:r w:rsidRPr="00304E14">
        <w:rPr>
          <w:b/>
          <w:kern w:val="22"/>
          <w:sz w:val="20"/>
          <w:szCs w:val="20"/>
        </w:rPr>
        <w:t>Глобальная оценка МПБЭУ</w:t>
      </w:r>
      <w:r w:rsidRPr="00304E14">
        <w:rPr>
          <w:b/>
          <w:kern w:val="22"/>
          <w:sz w:val="20"/>
          <w:szCs w:val="20"/>
        </w:rPr>
        <w:tab/>
        <w:t>май 2019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Подготовка предварительного проекта доклада </w:t>
      </w:r>
      <w:r w:rsidRPr="00304E14">
        <w:rPr>
          <w:kern w:val="22"/>
          <w:sz w:val="20"/>
          <w:szCs w:val="20"/>
        </w:rPr>
        <w:tab/>
        <w:t>май-август 2019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Проведение обзора приглашенными экспертами </w:t>
      </w:r>
      <w:r w:rsidRPr="00304E14">
        <w:rPr>
          <w:kern w:val="22"/>
          <w:sz w:val="20"/>
          <w:szCs w:val="20"/>
        </w:rPr>
        <w:tab/>
        <w:t>август-сентябрь 2019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Обзор проекта </w:t>
      </w:r>
      <w:r w:rsidRPr="00304E14">
        <w:rPr>
          <w:kern w:val="22"/>
          <w:sz w:val="20"/>
          <w:szCs w:val="20"/>
        </w:rPr>
        <w:tab/>
        <w:t>август-сентябрь 2019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Коллегиальная оценка Сторон и общественности </w:t>
      </w:r>
      <w:r w:rsidRPr="00304E14">
        <w:rPr>
          <w:kern w:val="22"/>
          <w:sz w:val="20"/>
          <w:szCs w:val="20"/>
        </w:rPr>
        <w:tab/>
        <w:t xml:space="preserve">октябрь-декабрь 2019 г. </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Разработка графических элементов </w:t>
      </w:r>
      <w:r w:rsidRPr="00304E14">
        <w:rPr>
          <w:kern w:val="22"/>
          <w:sz w:val="20"/>
          <w:szCs w:val="20"/>
        </w:rPr>
        <w:tab/>
        <w:t>ноябрь 2019 г.</w:t>
      </w:r>
    </w:p>
    <w:p w:rsidR="004B7953" w:rsidRPr="00304E14" w:rsidRDefault="004B7953" w:rsidP="004B7953">
      <w:pPr>
        <w:pStyle w:val="Para1"/>
        <w:keepNext/>
        <w:keepLines/>
        <w:tabs>
          <w:tab w:val="left" w:pos="5130"/>
        </w:tabs>
        <w:spacing w:before="0" w:after="0"/>
        <w:ind w:left="91" w:firstLine="569"/>
        <w:rPr>
          <w:b/>
          <w:bCs/>
          <w:kern w:val="22"/>
          <w:sz w:val="20"/>
          <w:szCs w:val="20"/>
        </w:rPr>
      </w:pPr>
      <w:r w:rsidRPr="00304E14">
        <w:rPr>
          <w:b/>
          <w:bCs/>
          <w:kern w:val="22"/>
          <w:sz w:val="20"/>
          <w:szCs w:val="20"/>
        </w:rPr>
        <w:t>ВОНТТК-23</w:t>
      </w:r>
      <w:r w:rsidRPr="00304E14">
        <w:rPr>
          <w:b/>
          <w:bCs/>
          <w:kern w:val="22"/>
          <w:sz w:val="20"/>
          <w:szCs w:val="20"/>
        </w:rPr>
        <w:tab/>
        <w:t>ноябрь 2019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Обзор проекта доклада </w:t>
      </w:r>
      <w:r w:rsidRPr="00304E14">
        <w:rPr>
          <w:kern w:val="22"/>
          <w:sz w:val="20"/>
          <w:szCs w:val="20"/>
        </w:rPr>
        <w:tab/>
        <w:t>январь-март 2020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Перевод на официальные языки ООН </w:t>
      </w:r>
      <w:r w:rsidRPr="00304E14">
        <w:rPr>
          <w:kern w:val="22"/>
          <w:sz w:val="20"/>
          <w:szCs w:val="20"/>
        </w:rPr>
        <w:tab/>
        <w:t>март 2020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 xml:space="preserve">Макет </w:t>
      </w:r>
      <w:r w:rsidRPr="00304E14">
        <w:rPr>
          <w:kern w:val="22"/>
          <w:sz w:val="20"/>
          <w:szCs w:val="20"/>
        </w:rPr>
        <w:tab/>
        <w:t>март-апрель 2020 г.</w:t>
      </w:r>
    </w:p>
    <w:p w:rsidR="004B7953" w:rsidRPr="00304E14" w:rsidRDefault="004B7953" w:rsidP="004B7953">
      <w:pPr>
        <w:pStyle w:val="Para1"/>
        <w:keepNext/>
        <w:keepLines/>
        <w:tabs>
          <w:tab w:val="left" w:pos="5130"/>
        </w:tabs>
        <w:spacing w:before="0" w:after="0"/>
        <w:ind w:left="91" w:firstLine="569"/>
        <w:rPr>
          <w:kern w:val="22"/>
          <w:sz w:val="20"/>
          <w:szCs w:val="20"/>
        </w:rPr>
      </w:pPr>
      <w:r w:rsidRPr="00304E14">
        <w:rPr>
          <w:kern w:val="22"/>
          <w:sz w:val="20"/>
          <w:szCs w:val="20"/>
        </w:rPr>
        <w:t>Печать и отправ</w:t>
      </w:r>
      <w:r w:rsidR="00B4306E">
        <w:rPr>
          <w:kern w:val="22"/>
          <w:sz w:val="20"/>
          <w:szCs w:val="20"/>
        </w:rPr>
        <w:t>ление</w:t>
      </w:r>
      <w:r w:rsidRPr="00304E14">
        <w:rPr>
          <w:kern w:val="22"/>
          <w:sz w:val="20"/>
          <w:szCs w:val="20"/>
        </w:rPr>
        <w:t xml:space="preserve"> к местам презентации</w:t>
      </w:r>
      <w:r w:rsidRPr="00304E14">
        <w:rPr>
          <w:kern w:val="22"/>
          <w:sz w:val="20"/>
          <w:szCs w:val="20"/>
        </w:rPr>
        <w:tab/>
        <w:t>май 2020 г.</w:t>
      </w:r>
    </w:p>
    <w:p w:rsidR="004B7953" w:rsidRPr="00304E14" w:rsidRDefault="004B7953" w:rsidP="004B7953">
      <w:pPr>
        <w:pStyle w:val="Para1"/>
        <w:keepNext/>
        <w:keepLines/>
        <w:pBdr>
          <w:bottom w:val="single" w:sz="4" w:space="1" w:color="auto"/>
        </w:pBdr>
        <w:tabs>
          <w:tab w:val="left" w:pos="5130"/>
        </w:tabs>
        <w:spacing w:before="0" w:after="0"/>
        <w:ind w:left="91" w:right="1422" w:firstLine="569"/>
        <w:rPr>
          <w:b/>
          <w:bCs/>
          <w:kern w:val="22"/>
          <w:sz w:val="20"/>
          <w:szCs w:val="20"/>
        </w:rPr>
      </w:pPr>
      <w:r w:rsidRPr="00304E14">
        <w:rPr>
          <w:b/>
          <w:bCs/>
          <w:kern w:val="22"/>
          <w:sz w:val="20"/>
          <w:szCs w:val="20"/>
        </w:rPr>
        <w:t>ВОНТТК-24/ВОО-3</w:t>
      </w:r>
      <w:r w:rsidRPr="00304E14">
        <w:rPr>
          <w:b/>
          <w:bCs/>
          <w:kern w:val="22"/>
          <w:sz w:val="20"/>
          <w:szCs w:val="20"/>
        </w:rPr>
        <w:tab/>
        <w:t>май 2020 г.</w:t>
      </w:r>
    </w:p>
    <w:p w:rsidR="004B7953" w:rsidRPr="00304E14" w:rsidRDefault="004B7953" w:rsidP="004B7953">
      <w:pPr>
        <w:pStyle w:val="Para1"/>
        <w:keepNext/>
        <w:keepLines/>
        <w:pBdr>
          <w:bottom w:val="single" w:sz="4" w:space="1" w:color="auto"/>
        </w:pBdr>
        <w:tabs>
          <w:tab w:val="left" w:pos="5130"/>
        </w:tabs>
        <w:spacing w:before="0" w:after="0"/>
        <w:ind w:left="91" w:right="1422" w:firstLine="569"/>
        <w:rPr>
          <w:kern w:val="22"/>
          <w:sz w:val="20"/>
          <w:szCs w:val="20"/>
        </w:rPr>
      </w:pPr>
      <w:r w:rsidRPr="00304E14">
        <w:rPr>
          <w:kern w:val="22"/>
          <w:sz w:val="20"/>
          <w:szCs w:val="20"/>
        </w:rPr>
        <w:t xml:space="preserve">Презентация основного доклада </w:t>
      </w:r>
      <w:r w:rsidRPr="00304E14">
        <w:rPr>
          <w:kern w:val="22"/>
          <w:sz w:val="20"/>
          <w:szCs w:val="20"/>
        </w:rPr>
        <w:tab/>
        <w:t>май 2020 г.</w:t>
      </w:r>
    </w:p>
    <w:p w:rsidR="004B7953" w:rsidRPr="00304E14" w:rsidRDefault="004B7953" w:rsidP="004B7953">
      <w:pPr>
        <w:pStyle w:val="Para1"/>
        <w:keepLines/>
        <w:pBdr>
          <w:bottom w:val="single" w:sz="4" w:space="1" w:color="auto"/>
        </w:pBdr>
        <w:tabs>
          <w:tab w:val="left" w:pos="5130"/>
        </w:tabs>
        <w:spacing w:before="0" w:after="0"/>
        <w:ind w:left="91" w:right="1422" w:firstLine="569"/>
        <w:rPr>
          <w:b/>
          <w:kern w:val="22"/>
          <w:sz w:val="20"/>
          <w:szCs w:val="20"/>
        </w:rPr>
      </w:pPr>
      <w:r w:rsidRPr="00304E14">
        <w:rPr>
          <w:b/>
          <w:kern w:val="22"/>
          <w:sz w:val="20"/>
          <w:szCs w:val="20"/>
        </w:rPr>
        <w:t>КС-1</w:t>
      </w:r>
      <w:r w:rsidR="00EB4014">
        <w:rPr>
          <w:b/>
          <w:kern w:val="22"/>
          <w:sz w:val="20"/>
          <w:szCs w:val="20"/>
        </w:rPr>
        <w:t>5</w:t>
      </w:r>
      <w:r w:rsidRPr="00304E14">
        <w:rPr>
          <w:b/>
          <w:kern w:val="22"/>
          <w:sz w:val="20"/>
          <w:szCs w:val="20"/>
        </w:rPr>
        <w:t>, ССКП-10; ССНП-4</w:t>
      </w:r>
      <w:r w:rsidRPr="00304E14">
        <w:rPr>
          <w:b/>
          <w:kern w:val="22"/>
          <w:sz w:val="20"/>
          <w:szCs w:val="20"/>
        </w:rPr>
        <w:tab/>
        <w:t>октябрь 2020 г.</w:t>
      </w:r>
    </w:p>
    <w:p w:rsidR="004B7953" w:rsidRPr="00981F73" w:rsidRDefault="004B7953" w:rsidP="004B7953">
      <w:pPr>
        <w:pStyle w:val="bodytextnoindent"/>
        <w:suppressLineNumbers/>
        <w:suppressAutoHyphens/>
        <w:kinsoku w:val="0"/>
        <w:overflowPunct w:val="0"/>
        <w:autoSpaceDE w:val="0"/>
        <w:autoSpaceDN w:val="0"/>
        <w:spacing w:before="120" w:after="120"/>
        <w:jc w:val="center"/>
        <w:rPr>
          <w:kern w:val="22"/>
          <w:szCs w:val="22"/>
        </w:rPr>
      </w:pPr>
      <w:r>
        <w:rPr>
          <w:kern w:val="22"/>
          <w:szCs w:val="22"/>
        </w:rPr>
        <w:t>__________</w:t>
      </w:r>
      <w:bookmarkEnd w:id="1"/>
    </w:p>
    <w:sectPr w:rsidR="004B7953" w:rsidRPr="00981F73" w:rsidSect="001E3457">
      <w:headerReference w:type="even" r:id="rId15"/>
      <w:headerReference w:type="default" r:id="rId16"/>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1A" w:rsidRDefault="00250B1A" w:rsidP="00CF1848">
      <w:r>
        <w:separator/>
      </w:r>
    </w:p>
  </w:endnote>
  <w:endnote w:type="continuationSeparator" w:id="0">
    <w:p w:rsidR="00250B1A" w:rsidRDefault="00250B1A" w:rsidP="00CF1848">
      <w:r>
        <w:continuationSeparator/>
      </w:r>
    </w:p>
  </w:endnote>
  <w:endnote w:type="continuationNotice" w:id="1">
    <w:p w:rsidR="00250B1A" w:rsidRDefault="00250B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1A" w:rsidRDefault="00250B1A" w:rsidP="00CF1848">
      <w:r>
        <w:separator/>
      </w:r>
    </w:p>
  </w:footnote>
  <w:footnote w:type="continuationSeparator" w:id="0">
    <w:p w:rsidR="00250B1A" w:rsidRDefault="00250B1A" w:rsidP="00CF1848">
      <w:r>
        <w:continuationSeparator/>
      </w:r>
    </w:p>
  </w:footnote>
  <w:footnote w:type="continuationNotice" w:id="1">
    <w:p w:rsidR="00250B1A" w:rsidRDefault="00250B1A"/>
  </w:footnote>
  <w:footnote w:id="2">
    <w:p w:rsidR="004B7953" w:rsidRPr="00E46F66" w:rsidRDefault="004B7953" w:rsidP="004B7953">
      <w:pPr>
        <w:pStyle w:val="Notedebasdepage"/>
        <w:spacing w:after="0"/>
        <w:ind w:firstLine="0"/>
        <w:rPr>
          <w:szCs w:val="18"/>
        </w:rPr>
      </w:pPr>
      <w:r w:rsidRPr="00AF1383">
        <w:rPr>
          <w:rStyle w:val="Appelnotedebasdep"/>
          <w:rFonts w:eastAsiaTheme="majorEastAsia"/>
          <w:szCs w:val="18"/>
        </w:rPr>
        <w:footnoteRef/>
      </w:r>
      <w:r w:rsidRPr="00AF1383">
        <w:rPr>
          <w:szCs w:val="18"/>
        </w:rPr>
        <w:t xml:space="preserve"> </w:t>
      </w:r>
      <w:r w:rsidRPr="00AF1383">
        <w:rPr>
          <w:kern w:val="18"/>
        </w:rPr>
        <w:t xml:space="preserve">Приложение к </w:t>
      </w:r>
      <w:hyperlink r:id="rId1" w:history="1">
        <w:r w:rsidRPr="00AF1383">
          <w:rPr>
            <w:rStyle w:val="Lienhypertexte"/>
            <w:szCs w:val="18"/>
          </w:rPr>
          <w:t>решению X/2</w:t>
        </w:r>
      </w:hyperlink>
      <w:r w:rsidRPr="00AF1383">
        <w:rPr>
          <w:szCs w:val="18"/>
        </w:rPr>
        <w:t>.</w:t>
      </w:r>
    </w:p>
  </w:footnote>
  <w:footnote w:id="3">
    <w:p w:rsidR="004B7953" w:rsidRPr="00E83391" w:rsidRDefault="004B7953" w:rsidP="004B7953">
      <w:pPr>
        <w:pStyle w:val="Notedebasdepage"/>
        <w:keepLines w:val="0"/>
        <w:suppressLineNumbers/>
        <w:suppressAutoHyphens/>
        <w:ind w:firstLine="0"/>
        <w:jc w:val="left"/>
        <w:rPr>
          <w:kern w:val="18"/>
          <w:szCs w:val="18"/>
        </w:rPr>
      </w:pPr>
      <w:r w:rsidRPr="00FC061D">
        <w:rPr>
          <w:rStyle w:val="Appelnotedebasdep"/>
          <w:rFonts w:eastAsiaTheme="majorEastAsia"/>
          <w:kern w:val="18"/>
          <w:szCs w:val="18"/>
        </w:rPr>
        <w:footnoteRef/>
      </w:r>
      <w:r w:rsidRPr="00E83391">
        <w:rPr>
          <w:kern w:val="18"/>
          <w:szCs w:val="18"/>
        </w:rPr>
        <w:t xml:space="preserve"> </w:t>
      </w:r>
      <w:r w:rsidRPr="00FF4A08">
        <w:rPr>
          <w:kern w:val="18"/>
          <w:szCs w:val="18"/>
        </w:rPr>
        <w:t xml:space="preserve">См. </w:t>
      </w:r>
      <w:r>
        <w:rPr>
          <w:kern w:val="18"/>
          <w:szCs w:val="18"/>
        </w:rPr>
        <w:t>п</w:t>
      </w:r>
      <w:r w:rsidRPr="00FF4A08">
        <w:rPr>
          <w:kern w:val="18"/>
          <w:szCs w:val="18"/>
        </w:rPr>
        <w:t xml:space="preserve">роект решения Конференции Сторон, содержащийся в рекомендации </w:t>
      </w:r>
      <w:r w:rsidR="00D47588" w:rsidRPr="00D47588">
        <w:rPr>
          <w:kern w:val="18"/>
          <w:szCs w:val="18"/>
        </w:rPr>
        <w:t>ВОНТТК</w:t>
      </w:r>
      <w:r w:rsidR="00D47588">
        <w:rPr>
          <w:kern w:val="18"/>
          <w:szCs w:val="18"/>
          <w:lang w:val="fr-FR"/>
        </w:rPr>
        <w:t xml:space="preserve"> </w:t>
      </w:r>
      <w:hyperlink r:id="rId2" w:history="1">
        <w:r w:rsidRPr="00D47588">
          <w:rPr>
            <w:rStyle w:val="Lienhypertexte"/>
            <w:kern w:val="18"/>
            <w:szCs w:val="18"/>
          </w:rPr>
          <w:t>XXI/1</w:t>
        </w:r>
      </w:hyperlink>
      <w:r w:rsidRPr="00FF4A08">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0" w:rsidRDefault="00C136E3" w:rsidP="00C32100">
    <w:pPr>
      <w:pStyle w:val="En-tte"/>
      <w:jc w:val="left"/>
      <w:rPr>
        <w:noProof/>
        <w:kern w:val="22"/>
      </w:rPr>
    </w:pPr>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r w:rsidR="00451FAC">
          <w:rPr>
            <w:noProof/>
            <w:kern w:val="22"/>
            <w:lang w:val="fr-FR"/>
          </w:rPr>
          <w:t>CBD/COP/DEC/14/</w:t>
        </w:r>
        <w:r w:rsidR="004B7953">
          <w:rPr>
            <w:noProof/>
            <w:kern w:val="22"/>
          </w:rPr>
          <w:t>3</w:t>
        </w:r>
      </w:sdtContent>
    </w:sdt>
    <w:r w:rsidR="004B7953">
      <w:rPr>
        <w:noProof/>
        <w:kern w:val="22"/>
      </w:rPr>
      <w:t>5</w:t>
    </w:r>
  </w:p>
  <w:p w:rsidR="006B12C7" w:rsidRDefault="006B12C7" w:rsidP="00534681">
    <w:pPr>
      <w:pStyle w:val="En-tte"/>
      <w:rPr>
        <w:noProof/>
      </w:rPr>
    </w:pPr>
    <w:r>
      <w:rPr>
        <w:noProof/>
      </w:rPr>
      <w:t xml:space="preserve">Страница </w:t>
    </w:r>
    <w:r w:rsidR="00C136E3">
      <w:rPr>
        <w:noProof/>
      </w:rPr>
      <w:fldChar w:fldCharType="begin"/>
    </w:r>
    <w:r>
      <w:rPr>
        <w:noProof/>
      </w:rPr>
      <w:instrText xml:space="preserve"> PAGE   \* MERGEFORMAT </w:instrText>
    </w:r>
    <w:r w:rsidR="00C136E3">
      <w:rPr>
        <w:noProof/>
      </w:rPr>
      <w:fldChar w:fldCharType="separate"/>
    </w:r>
    <w:r w:rsidR="00943730">
      <w:rPr>
        <w:noProof/>
      </w:rPr>
      <w:t>2</w:t>
    </w:r>
    <w:r w:rsidR="00C136E3">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AC" w:rsidRDefault="00C136E3" w:rsidP="00451FAC">
    <w:pPr>
      <w:pStyle w:val="En-tte"/>
      <w:jc w:val="right"/>
      <w:rPr>
        <w:noProof/>
        <w:kern w:val="22"/>
      </w:rPr>
    </w:pPr>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r w:rsidR="004B7953">
          <w:rPr>
            <w:noProof/>
            <w:kern w:val="22"/>
            <w:lang w:val="fr-FR"/>
          </w:rPr>
          <w:t>CBD/COP/DEC/14/3</w:t>
        </w:r>
      </w:sdtContent>
    </w:sdt>
    <w:r w:rsidR="004B7953">
      <w:rPr>
        <w:noProof/>
        <w:kern w:val="22"/>
      </w:rPr>
      <w:t>5</w:t>
    </w:r>
  </w:p>
  <w:p w:rsidR="006B12C7" w:rsidRDefault="006B12C7" w:rsidP="009505C9">
    <w:pPr>
      <w:pStyle w:val="En-tte"/>
      <w:jc w:val="right"/>
    </w:pPr>
    <w:r>
      <w:t xml:space="preserve">Страница </w:t>
    </w:r>
    <w:r w:rsidR="00C136E3">
      <w:fldChar w:fldCharType="begin"/>
    </w:r>
    <w:r>
      <w:instrText xml:space="preserve"> PAGE   \* MERGEFORMAT </w:instrText>
    </w:r>
    <w:r w:rsidR="00C136E3">
      <w:fldChar w:fldCharType="separate"/>
    </w:r>
    <w:r w:rsidR="00D47588">
      <w:rPr>
        <w:noProof/>
      </w:rPr>
      <w:t>3</w:t>
    </w:r>
    <w:r w:rsidR="00C136E3">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BC28EB7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26BBF"/>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0B1A"/>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0ADD"/>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B7953"/>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5627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E7063"/>
    <w:rsid w:val="006F64EB"/>
    <w:rsid w:val="0070410B"/>
    <w:rsid w:val="00705581"/>
    <w:rsid w:val="00710887"/>
    <w:rsid w:val="00717D88"/>
    <w:rsid w:val="007217AA"/>
    <w:rsid w:val="00727C77"/>
    <w:rsid w:val="0073199D"/>
    <w:rsid w:val="00735C95"/>
    <w:rsid w:val="00741BA9"/>
    <w:rsid w:val="0074228D"/>
    <w:rsid w:val="00746909"/>
    <w:rsid w:val="00757714"/>
    <w:rsid w:val="00764248"/>
    <w:rsid w:val="00765884"/>
    <w:rsid w:val="007813C0"/>
    <w:rsid w:val="00787781"/>
    <w:rsid w:val="0079369B"/>
    <w:rsid w:val="007942D3"/>
    <w:rsid w:val="00797BA8"/>
    <w:rsid w:val="007A59CD"/>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229E"/>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07C1"/>
    <w:rsid w:val="00925FE4"/>
    <w:rsid w:val="00931B93"/>
    <w:rsid w:val="00933654"/>
    <w:rsid w:val="009352FA"/>
    <w:rsid w:val="009369AE"/>
    <w:rsid w:val="0094313E"/>
    <w:rsid w:val="00943730"/>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6AEF"/>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306E"/>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36E3"/>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47588"/>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34FE"/>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B4014"/>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020"/>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34"/>
    <w:qFormat/>
    <w:locked/>
    <w:rsid w:val="004B7953"/>
    <w:rPr>
      <w:rFonts w:ascii="Times New Roman" w:eastAsia="Times New Roman" w:hAnsi="Times New Roman" w:cs="Times New Roman"/>
      <w:sz w:val="22"/>
      <w:szCs w:val="24"/>
      <w:lang w:val="ru-RU" w:eastAsia="en-U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7-ru.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9-ru.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1/cop-11-dec-02-ru.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recommendations/sbstta-21/sbstta-21-rec-01-ru.pdf" TargetMode="External"/><Relationship Id="rId1" Type="http://schemas.openxmlformats.org/officeDocument/2006/relationships/hyperlink" Target="https://www.cbd.int/doc/decisions/cop-10/cop-10-dec-02-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935A31"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935A31"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002169"/>
    <w:rsid w:val="002C76A2"/>
    <w:rsid w:val="003A644B"/>
    <w:rsid w:val="005C5751"/>
    <w:rsid w:val="007C585D"/>
    <w:rsid w:val="00935A31"/>
    <w:rsid w:val="00CC68AE"/>
    <w:rsid w:val="00D21E63"/>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1DEDB-8234-41EA-A1F3-3AE562E6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820</Words>
  <Characters>4510</Characters>
  <Application>Microsoft Office Word</Application>
  <DocSecurity>0</DocSecurity>
  <Lines>37</Lines>
  <Paragraphs>10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5320</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dc:subject>
  <dc:creator>SCBD</dc:creator>
  <cp:lastModifiedBy>Bureau</cp:lastModifiedBy>
  <cp:revision>8</cp:revision>
  <cp:lastPrinted>2018-10-14T15:07:00Z</cp:lastPrinted>
  <dcterms:created xsi:type="dcterms:W3CDTF">2019-01-24T21:33:00Z</dcterms:created>
  <dcterms:modified xsi:type="dcterms:W3CDTF">2019-02-06T16:30:00Z</dcterms:modified>
  <cp:contentStatus>CBD/COP/DEC/14/35</cp:contentStatus>
</cp:coreProperties>
</file>