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2D1454" w14:paraId="7D1FA9FC" w14:textId="77777777" w:rsidTr="00527836">
        <w:trPr>
          <w:trHeight w:val="709"/>
        </w:trPr>
        <w:tc>
          <w:tcPr>
            <w:tcW w:w="976" w:type="dxa"/>
            <w:tcBorders>
              <w:bottom w:val="single" w:sz="12" w:space="0" w:color="auto"/>
            </w:tcBorders>
          </w:tcPr>
          <w:p w14:paraId="22D35C20" w14:textId="77777777" w:rsidR="002D1454" w:rsidRDefault="002D1454" w:rsidP="00527836">
            <w:r>
              <w:rPr>
                <w:noProof/>
                <w:lang w:eastAsia="en-GB"/>
              </w:rPr>
              <w:drawing>
                <wp:inline distT="0" distB="0" distL="0" distR="0" wp14:anchorId="659B7A65" wp14:editId="18B35E6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18203FB" w14:textId="77777777" w:rsidR="002D1454" w:rsidRDefault="002D1454" w:rsidP="00527836">
            <w:r>
              <w:rPr>
                <w:noProof/>
                <w:lang w:eastAsia="en-GB"/>
              </w:rPr>
              <w:drawing>
                <wp:inline distT="0" distB="0" distL="0" distR="0" wp14:anchorId="3439EDA9" wp14:editId="2D5F4E7A">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13DF6B2F" w14:textId="77777777" w:rsidR="002D1454" w:rsidRPr="00C9161D" w:rsidRDefault="002D1454" w:rsidP="00527836">
            <w:pPr>
              <w:jc w:val="right"/>
              <w:rPr>
                <w:rFonts w:ascii="Arial" w:hAnsi="Arial" w:cs="Arial"/>
                <w:b/>
                <w:sz w:val="32"/>
                <w:szCs w:val="32"/>
              </w:rPr>
            </w:pPr>
            <w:r w:rsidRPr="00C9161D">
              <w:rPr>
                <w:rFonts w:ascii="Arial" w:hAnsi="Arial" w:cs="Arial"/>
                <w:b/>
                <w:sz w:val="32"/>
                <w:szCs w:val="32"/>
              </w:rPr>
              <w:t>CBD</w:t>
            </w:r>
          </w:p>
        </w:tc>
      </w:tr>
      <w:tr w:rsidR="002D1454" w:rsidRPr="00E072FE" w14:paraId="732B77AF" w14:textId="77777777" w:rsidTr="00527836">
        <w:tc>
          <w:tcPr>
            <w:tcW w:w="6117" w:type="dxa"/>
            <w:gridSpan w:val="2"/>
            <w:tcBorders>
              <w:top w:val="single" w:sz="12" w:space="0" w:color="auto"/>
              <w:bottom w:val="single" w:sz="36" w:space="0" w:color="auto"/>
            </w:tcBorders>
            <w:vAlign w:val="center"/>
          </w:tcPr>
          <w:p w14:paraId="42C9266D" w14:textId="02CAC199" w:rsidR="002D1454" w:rsidRPr="00E072FE" w:rsidRDefault="00D41406" w:rsidP="00527836">
            <w:pPr>
              <w:rPr>
                <w:lang w:val="fr-FR"/>
              </w:rPr>
            </w:pPr>
            <w:r w:rsidRPr="00E072FE">
              <w:rPr>
                <w:bCs/>
                <w:noProof/>
                <w:lang w:eastAsia="en-GB"/>
              </w:rPr>
              <w:drawing>
                <wp:inline distT="0" distB="0" distL="0" distR="0" wp14:anchorId="3771B9DD" wp14:editId="20F41E5E">
                  <wp:extent cx="2857500" cy="1076325"/>
                  <wp:effectExtent l="0" t="0" r="0" b="9525"/>
                  <wp:docPr id="2" name="Picture 2"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39D4036F" w14:textId="77777777" w:rsidR="002D1454" w:rsidRPr="00E072FE" w:rsidRDefault="002D1454" w:rsidP="00527836">
            <w:pPr>
              <w:ind w:left="1215"/>
              <w:rPr>
                <w:noProof/>
                <w:szCs w:val="22"/>
                <w:lang w:val="fr-FR"/>
              </w:rPr>
            </w:pPr>
            <w:r w:rsidRPr="00E072FE">
              <w:rPr>
                <w:noProof/>
                <w:szCs w:val="22"/>
                <w:lang w:val="fr-FR"/>
              </w:rPr>
              <w:t>Distr.</w:t>
            </w:r>
          </w:p>
          <w:p w14:paraId="15947904" w14:textId="7EE77597" w:rsidR="002D1454" w:rsidRPr="00E072FE" w:rsidRDefault="00C2164C" w:rsidP="00527836">
            <w:pPr>
              <w:ind w:left="1215"/>
              <w:rPr>
                <w:szCs w:val="22"/>
                <w:lang w:val="fr-FR"/>
              </w:rPr>
            </w:pPr>
            <w:sdt>
              <w:sdtPr>
                <w:rPr>
                  <w:caps/>
                  <w:szCs w:val="22"/>
                  <w:lang w:val="fr-FR"/>
                </w:rPr>
                <w:alias w:val="Status"/>
                <w:tag w:val=""/>
                <w:id w:val="307985777"/>
                <w:placeholder>
                  <w:docPart w:val="B1CBD48DA4154DD289E450B302A7C7A0"/>
                </w:placeholder>
                <w:dataBinding w:prefixMappings="xmlns:ns0='http://purl.org/dc/elements/1.1/' xmlns:ns1='http://schemas.openxmlformats.org/package/2006/metadata/core-properties' " w:xpath="/ns1:coreProperties[1]/ns1:contentStatus[1]" w:storeItemID="{6C3C8BC8-F283-45AE-878A-BAB7291924A1}"/>
                <w:text/>
              </w:sdtPr>
              <w:sdtEndPr/>
              <w:sdtContent>
                <w:r w:rsidR="00E072FE" w:rsidRPr="00E072FE">
                  <w:rPr>
                    <w:caps/>
                    <w:szCs w:val="22"/>
                    <w:lang w:val="fr-FR"/>
                  </w:rPr>
                  <w:t>GÉNÉRALE</w:t>
                </w:r>
              </w:sdtContent>
            </w:sdt>
          </w:p>
          <w:p w14:paraId="7BF35110" w14:textId="77777777" w:rsidR="002D1454" w:rsidRPr="00E072FE" w:rsidRDefault="002D1454" w:rsidP="00527836">
            <w:pPr>
              <w:ind w:left="1215"/>
              <w:rPr>
                <w:szCs w:val="22"/>
                <w:lang w:val="fr-FR"/>
              </w:rPr>
            </w:pPr>
          </w:p>
          <w:p w14:paraId="4079BF02" w14:textId="2BB940B7" w:rsidR="002D1454" w:rsidRPr="00E072FE" w:rsidRDefault="00C2164C" w:rsidP="00527836">
            <w:pPr>
              <w:ind w:left="1215"/>
              <w:rPr>
                <w:szCs w:val="22"/>
                <w:lang w:val="fr-FR"/>
              </w:rPr>
            </w:pPr>
            <w:sdt>
              <w:sdtPr>
                <w:rPr>
                  <w:lang w:val="fr-FR"/>
                </w:rPr>
                <w:alias w:val="Subject"/>
                <w:tag w:val=""/>
                <w:id w:val="2137136483"/>
                <w:placeholder>
                  <w:docPart w:val="665EDD7E39484E8986AFADDB19489805"/>
                </w:placeholder>
                <w:dataBinding w:prefixMappings="xmlns:ns0='http://purl.org/dc/elements/1.1/' xmlns:ns1='http://schemas.openxmlformats.org/package/2006/metadata/core-properties' " w:xpath="/ns1:coreProperties[1]/ns0:subject[1]" w:storeItemID="{6C3C8BC8-F283-45AE-878A-BAB7291924A1}"/>
                <w:text/>
              </w:sdtPr>
              <w:sdtEndPr/>
              <w:sdtContent>
                <w:r w:rsidR="00E072FE" w:rsidRPr="00E072FE">
                  <w:rPr>
                    <w:lang w:val="fr-FR"/>
                  </w:rPr>
                  <w:t>CBD/COP/DEC/14/23</w:t>
                </w:r>
              </w:sdtContent>
            </w:sdt>
          </w:p>
          <w:p w14:paraId="19A194A8" w14:textId="5BB28D19" w:rsidR="002D1454" w:rsidRPr="00E072FE" w:rsidRDefault="00E072FE" w:rsidP="00527836">
            <w:pPr>
              <w:ind w:left="1215"/>
              <w:rPr>
                <w:szCs w:val="22"/>
                <w:lang w:val="fr-FR"/>
              </w:rPr>
            </w:pPr>
            <w:r w:rsidRPr="00E072FE">
              <w:rPr>
                <w:szCs w:val="22"/>
                <w:lang w:val="fr-FR"/>
              </w:rPr>
              <w:t>30</w:t>
            </w:r>
            <w:r w:rsidR="00D41406" w:rsidRPr="00E072FE">
              <w:rPr>
                <w:szCs w:val="22"/>
                <w:lang w:val="fr-FR"/>
              </w:rPr>
              <w:t xml:space="preserve"> novemb</w:t>
            </w:r>
            <w:r w:rsidR="002D1454" w:rsidRPr="00E072FE">
              <w:rPr>
                <w:szCs w:val="22"/>
                <w:lang w:val="fr-FR"/>
              </w:rPr>
              <w:t>r</w:t>
            </w:r>
            <w:r w:rsidR="00D41406" w:rsidRPr="00E072FE">
              <w:rPr>
                <w:szCs w:val="22"/>
                <w:lang w:val="fr-FR"/>
              </w:rPr>
              <w:t>e</w:t>
            </w:r>
            <w:r w:rsidR="002D1454" w:rsidRPr="00E072FE">
              <w:rPr>
                <w:szCs w:val="22"/>
                <w:lang w:val="fr-FR"/>
              </w:rPr>
              <w:t xml:space="preserve"> 2018</w:t>
            </w:r>
          </w:p>
          <w:p w14:paraId="66D0BE35" w14:textId="77777777" w:rsidR="002D1454" w:rsidRPr="00E072FE" w:rsidRDefault="002D1454" w:rsidP="00527836">
            <w:pPr>
              <w:ind w:left="1215"/>
              <w:rPr>
                <w:szCs w:val="22"/>
                <w:lang w:val="fr-FR"/>
              </w:rPr>
            </w:pPr>
          </w:p>
          <w:p w14:paraId="18434E2C" w14:textId="52D37C87" w:rsidR="00D41406" w:rsidRPr="00E072FE" w:rsidRDefault="00D41406" w:rsidP="00527836">
            <w:pPr>
              <w:ind w:left="1215"/>
              <w:rPr>
                <w:szCs w:val="22"/>
                <w:lang w:val="fr-FR"/>
              </w:rPr>
            </w:pPr>
            <w:r w:rsidRPr="00E072FE">
              <w:rPr>
                <w:szCs w:val="22"/>
                <w:lang w:val="fr-FR"/>
              </w:rPr>
              <w:t>FRANÇAIS</w:t>
            </w:r>
          </w:p>
          <w:p w14:paraId="711DD489" w14:textId="73D4C930" w:rsidR="002D1454" w:rsidRPr="00E072FE" w:rsidRDefault="002D1454" w:rsidP="00527836">
            <w:pPr>
              <w:ind w:left="1215"/>
              <w:rPr>
                <w:szCs w:val="22"/>
                <w:lang w:val="fr-FR"/>
              </w:rPr>
            </w:pPr>
            <w:r w:rsidRPr="00E072FE">
              <w:rPr>
                <w:szCs w:val="22"/>
                <w:lang w:val="fr-FR"/>
              </w:rPr>
              <w:t>ORIGINAL</w:t>
            </w:r>
            <w:r w:rsidR="00D41406" w:rsidRPr="00E072FE">
              <w:rPr>
                <w:szCs w:val="22"/>
                <w:lang w:val="fr-FR"/>
              </w:rPr>
              <w:t xml:space="preserve"> </w:t>
            </w:r>
            <w:r w:rsidRPr="00E072FE">
              <w:rPr>
                <w:szCs w:val="22"/>
                <w:lang w:val="fr-FR"/>
              </w:rPr>
              <w:t xml:space="preserve">: </w:t>
            </w:r>
            <w:r w:rsidR="00D41406" w:rsidRPr="00E072FE">
              <w:rPr>
                <w:szCs w:val="22"/>
                <w:lang w:val="fr-FR"/>
              </w:rPr>
              <w:t>A</w:t>
            </w:r>
            <w:r w:rsidRPr="00E072FE">
              <w:rPr>
                <w:szCs w:val="22"/>
                <w:lang w:val="fr-FR"/>
              </w:rPr>
              <w:t>NGL</w:t>
            </w:r>
            <w:r w:rsidR="00D41406" w:rsidRPr="00E072FE">
              <w:rPr>
                <w:szCs w:val="22"/>
                <w:lang w:val="fr-FR"/>
              </w:rPr>
              <w:t>AIS</w:t>
            </w:r>
          </w:p>
          <w:p w14:paraId="206F9172" w14:textId="77777777" w:rsidR="002D1454" w:rsidRPr="00E072FE" w:rsidRDefault="002D1454" w:rsidP="00527836">
            <w:pPr>
              <w:rPr>
                <w:lang w:val="fr-FR"/>
              </w:rPr>
            </w:pPr>
          </w:p>
        </w:tc>
      </w:tr>
    </w:tbl>
    <w:p w14:paraId="322CA201" w14:textId="1EDE44E2" w:rsidR="00D41406" w:rsidRPr="00E072FE" w:rsidRDefault="00D41406" w:rsidP="00D41406">
      <w:pPr>
        <w:pStyle w:val="NoSpacing"/>
        <w:ind w:left="142" w:right="4682" w:hanging="142"/>
        <w:rPr>
          <w:rFonts w:ascii="Times New Roman" w:hAnsi="Times New Roman"/>
          <w:kern w:val="22"/>
          <w:lang w:val="fr-FR" w:eastAsia="fr-FR"/>
        </w:rPr>
      </w:pPr>
      <w:r w:rsidRPr="00E072FE">
        <w:rPr>
          <w:rFonts w:ascii="Times New Roman" w:hAnsi="Times New Roman"/>
          <w:kern w:val="22"/>
          <w:lang w:val="fr-FR" w:eastAsia="fr-FR"/>
        </w:rPr>
        <w:t>CONFÉRENCE DES PARTIES À LA CONVENTION SUR LA DIVERSITÉ BIOLOGIQUE</w:t>
      </w:r>
    </w:p>
    <w:p w14:paraId="754FBF00" w14:textId="77777777" w:rsidR="00D41406" w:rsidRPr="00E072FE" w:rsidRDefault="00D41406" w:rsidP="00D41406">
      <w:pPr>
        <w:jc w:val="left"/>
        <w:rPr>
          <w:rFonts w:eastAsia="Calibri"/>
          <w:kern w:val="22"/>
          <w:szCs w:val="22"/>
          <w:lang w:val="fr-FR" w:eastAsia="fr-FR"/>
        </w:rPr>
      </w:pPr>
      <w:r w:rsidRPr="00E072FE">
        <w:rPr>
          <w:rFonts w:eastAsia="Calibri"/>
          <w:kern w:val="22"/>
          <w:szCs w:val="22"/>
          <w:lang w:val="fr-FR" w:eastAsia="fr-FR"/>
        </w:rPr>
        <w:t>Quatorzième réunion</w:t>
      </w:r>
    </w:p>
    <w:p w14:paraId="0F5F5D83" w14:textId="3ECDC930" w:rsidR="00D41406" w:rsidRPr="00E072FE" w:rsidRDefault="00E072FE" w:rsidP="00D41406">
      <w:pPr>
        <w:jc w:val="left"/>
        <w:rPr>
          <w:rFonts w:eastAsia="Calibri"/>
          <w:kern w:val="22"/>
          <w:szCs w:val="22"/>
          <w:lang w:val="fr-FR" w:eastAsia="fr-FR"/>
        </w:rPr>
      </w:pPr>
      <w:r w:rsidRPr="00E072FE">
        <w:rPr>
          <w:rFonts w:eastAsia="Calibri"/>
          <w:noProof/>
          <w:kern w:val="22"/>
          <w:szCs w:val="22"/>
          <w:lang w:val="fr-FR" w:eastAsia="fr-FR"/>
        </w:rPr>
        <w:t>Charm el</w:t>
      </w:r>
      <w:r w:rsidRPr="00E072FE">
        <w:rPr>
          <w:rFonts w:eastAsia="Calibri"/>
          <w:kern w:val="22"/>
          <w:szCs w:val="22"/>
          <w:lang w:val="fr-FR" w:eastAsia="fr-FR"/>
        </w:rPr>
        <w:t>-C</w:t>
      </w:r>
      <w:r w:rsidR="00D41406" w:rsidRPr="00E072FE">
        <w:rPr>
          <w:rFonts w:eastAsia="Calibri"/>
          <w:kern w:val="22"/>
          <w:szCs w:val="22"/>
          <w:lang w:val="fr-FR" w:eastAsia="fr-FR"/>
        </w:rPr>
        <w:t>heikh, Égypte, 17-29 novembre 2018</w:t>
      </w:r>
    </w:p>
    <w:p w14:paraId="0B9BBCE1" w14:textId="4F21F6A0" w:rsidR="00C9161D" w:rsidRPr="00E072FE" w:rsidRDefault="00D41406" w:rsidP="00C9161D">
      <w:pPr>
        <w:rPr>
          <w:kern w:val="22"/>
          <w:szCs w:val="22"/>
          <w:lang w:val="fr-FR" w:eastAsia="fr-FR"/>
        </w:rPr>
      </w:pPr>
      <w:r w:rsidRPr="00E072FE">
        <w:rPr>
          <w:kern w:val="22"/>
          <w:szCs w:val="22"/>
          <w:lang w:val="fr-FR" w:eastAsia="fr-FR"/>
        </w:rPr>
        <w:t>Point 9 de l’ordre du jour</w:t>
      </w:r>
    </w:p>
    <w:p w14:paraId="2473BDF6" w14:textId="6FE8388F" w:rsidR="00E072FE" w:rsidRPr="00E072FE" w:rsidRDefault="00E072FE" w:rsidP="00E072FE">
      <w:pPr>
        <w:spacing w:before="240" w:after="120"/>
        <w:jc w:val="center"/>
        <w:rPr>
          <w:b/>
          <w:kern w:val="22"/>
          <w:szCs w:val="22"/>
          <w:lang w:val="en-AU" w:eastAsia="fr-FR"/>
        </w:rPr>
      </w:pPr>
      <w:r>
        <w:rPr>
          <w:b/>
          <w:kern w:val="22"/>
          <w:szCs w:val="22"/>
          <w:lang w:val="en-AU" w:eastAsia="fr-FR"/>
        </w:rPr>
        <w:t>DÉCISION ADOPTÉE PAR LA CONFÉRENCE DES PARTIES À LA CONVENTION SUR LA DIVERSITÉ BIOLOGIQUE</w:t>
      </w:r>
    </w:p>
    <w:p w14:paraId="70A9BE08" w14:textId="0EC1A2AC" w:rsidR="00C9161D" w:rsidRPr="00DB706B" w:rsidRDefault="00C2164C" w:rsidP="00DB706B">
      <w:pPr>
        <w:spacing w:before="240" w:after="120"/>
        <w:jc w:val="center"/>
        <w:rPr>
          <w:b/>
          <w:caps/>
          <w:kern w:val="22"/>
          <w:szCs w:val="22"/>
        </w:rPr>
      </w:pPr>
      <w:sdt>
        <w:sdtPr>
          <w:rPr>
            <w:b/>
            <w:bCs/>
            <w:iCs/>
            <w:caps/>
            <w:kern w:val="22"/>
            <w:szCs w:val="22"/>
            <w:lang w:val="fr-FR" w:eastAsia="fr-FR"/>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E072FE" w:rsidRPr="00E072FE">
            <w:rPr>
              <w:b/>
              <w:bCs/>
              <w:iCs/>
              <w:caps/>
              <w:kern w:val="22"/>
              <w:szCs w:val="22"/>
              <w:lang w:val="fr-FR" w:eastAsia="fr-FR"/>
            </w:rPr>
            <w:t>14/23.</w:t>
          </w:r>
          <w:r w:rsidR="00E072FE" w:rsidRPr="00E072FE">
            <w:rPr>
              <w:b/>
              <w:bCs/>
              <w:iCs/>
              <w:caps/>
              <w:kern w:val="22"/>
              <w:szCs w:val="22"/>
              <w:lang w:val="fr-FR" w:eastAsia="fr-FR"/>
            </w:rPr>
            <w:tab/>
          </w:r>
          <w:r w:rsidR="00E072FE" w:rsidRPr="00E072FE">
            <w:rPr>
              <w:b/>
              <w:bCs/>
              <w:iCs/>
              <w:kern w:val="22"/>
              <w:szCs w:val="22"/>
              <w:lang w:val="fr-FR" w:eastAsia="fr-FR"/>
            </w:rPr>
            <w:t>Mécanisme de financement</w:t>
          </w:r>
        </w:sdtContent>
      </w:sdt>
      <w:r w:rsidR="00105372" w:rsidRPr="00DB706B">
        <w:rPr>
          <w:b/>
          <w:caps/>
          <w:kern w:val="22"/>
          <w:szCs w:val="22"/>
        </w:rPr>
        <w:t xml:space="preserve"> </w:t>
      </w:r>
    </w:p>
    <w:p w14:paraId="40C7B6D0" w14:textId="77777777" w:rsidR="00D41406" w:rsidRPr="00D41406" w:rsidRDefault="00D41406" w:rsidP="00D41406">
      <w:pPr>
        <w:tabs>
          <w:tab w:val="num" w:pos="720"/>
        </w:tabs>
        <w:kinsoku w:val="0"/>
        <w:overflowPunct w:val="0"/>
        <w:autoSpaceDE w:val="0"/>
        <w:autoSpaceDN w:val="0"/>
        <w:spacing w:before="120" w:after="120"/>
        <w:ind w:firstLine="720"/>
        <w:rPr>
          <w:i/>
          <w:snapToGrid w:val="0"/>
          <w:kern w:val="22"/>
          <w:szCs w:val="22"/>
          <w:lang w:val="fr-FR" w:eastAsia="fr-FR"/>
        </w:rPr>
      </w:pPr>
      <w:r w:rsidRPr="00D41406">
        <w:rPr>
          <w:i/>
          <w:snapToGrid w:val="0"/>
          <w:kern w:val="22"/>
          <w:szCs w:val="22"/>
          <w:lang w:val="fr-FR" w:eastAsia="fr-FR"/>
        </w:rPr>
        <w:t>La Conférence des Parties,</w:t>
      </w:r>
    </w:p>
    <w:p w14:paraId="48BD1B62" w14:textId="440C0C8A" w:rsidR="00D41406" w:rsidRPr="00D41406" w:rsidRDefault="00D41406" w:rsidP="00D41406">
      <w:pPr>
        <w:suppressLineNumbers/>
        <w:suppressAutoHyphens/>
        <w:kinsoku w:val="0"/>
        <w:overflowPunct w:val="0"/>
        <w:autoSpaceDE w:val="0"/>
        <w:autoSpaceDN w:val="0"/>
        <w:adjustRightInd w:val="0"/>
        <w:snapToGrid w:val="0"/>
        <w:spacing w:before="120" w:after="120"/>
        <w:ind w:firstLine="720"/>
        <w:rPr>
          <w:iCs/>
          <w:kern w:val="22"/>
          <w:szCs w:val="22"/>
          <w:lang w:val="fr-FR" w:eastAsia="fr-FR"/>
        </w:rPr>
      </w:pPr>
      <w:r w:rsidRPr="00D41406">
        <w:rPr>
          <w:i/>
          <w:iCs/>
          <w:kern w:val="22"/>
          <w:szCs w:val="22"/>
          <w:lang w:val="fr-FR" w:eastAsia="fr-FR"/>
        </w:rPr>
        <w:t>Rappelant</w:t>
      </w:r>
      <w:r w:rsidRPr="00D41406">
        <w:rPr>
          <w:iCs/>
          <w:kern w:val="22"/>
          <w:szCs w:val="22"/>
          <w:lang w:val="fr-FR" w:eastAsia="fr-FR"/>
        </w:rPr>
        <w:t xml:space="preserve"> l'article 21 et les dispositions connexes de la Convention, l'article 28 du Protocole de Cartagena</w:t>
      </w:r>
      <w:r w:rsidR="000371DF">
        <w:rPr>
          <w:iCs/>
          <w:kern w:val="22"/>
          <w:szCs w:val="22"/>
          <w:lang w:val="fr-FR" w:eastAsia="fr-FR"/>
        </w:rPr>
        <w:t xml:space="preserve"> sur la prévention des risques biotechnologiques</w:t>
      </w:r>
      <w:r w:rsidRPr="00D41406">
        <w:rPr>
          <w:iCs/>
          <w:kern w:val="22"/>
          <w:szCs w:val="22"/>
          <w:lang w:val="fr-FR" w:eastAsia="fr-FR"/>
        </w:rPr>
        <w:t xml:space="preserve"> et l'article 25 du Protocole de Nagoya sur l'accès et le partage des avantages,</w:t>
      </w:r>
    </w:p>
    <w:p w14:paraId="19D065EE" w14:textId="77777777" w:rsidR="00D41406" w:rsidRPr="00D41406" w:rsidRDefault="00D41406" w:rsidP="00D41406">
      <w:pPr>
        <w:suppressLineNumbers/>
        <w:suppressAutoHyphens/>
        <w:kinsoku w:val="0"/>
        <w:overflowPunct w:val="0"/>
        <w:autoSpaceDE w:val="0"/>
        <w:autoSpaceDN w:val="0"/>
        <w:adjustRightInd w:val="0"/>
        <w:snapToGrid w:val="0"/>
        <w:spacing w:before="120" w:after="120"/>
        <w:ind w:firstLine="720"/>
        <w:rPr>
          <w:iCs/>
          <w:kern w:val="22"/>
          <w:szCs w:val="22"/>
          <w:lang w:val="fr-FR" w:eastAsia="fr-FR"/>
        </w:rPr>
      </w:pPr>
      <w:r w:rsidRPr="00D41406">
        <w:rPr>
          <w:i/>
          <w:iCs/>
          <w:kern w:val="22"/>
          <w:szCs w:val="22"/>
          <w:lang w:val="fr-FR" w:eastAsia="fr-FR"/>
        </w:rPr>
        <w:t>Rappelant également</w:t>
      </w:r>
      <w:r w:rsidRPr="00D41406">
        <w:rPr>
          <w:iCs/>
          <w:kern w:val="22"/>
          <w:szCs w:val="22"/>
          <w:lang w:val="fr-FR" w:eastAsia="fr-FR"/>
        </w:rPr>
        <w:t xml:space="preserve"> les décisions XIII/21 et III/8,</w:t>
      </w:r>
    </w:p>
    <w:p w14:paraId="6AE32171" w14:textId="77777777" w:rsidR="00D41406" w:rsidRPr="00D41406" w:rsidRDefault="00D41406" w:rsidP="00D41406">
      <w:pPr>
        <w:tabs>
          <w:tab w:val="num" w:pos="720"/>
        </w:tabs>
        <w:kinsoku w:val="0"/>
        <w:overflowPunct w:val="0"/>
        <w:autoSpaceDE w:val="0"/>
        <w:autoSpaceDN w:val="0"/>
        <w:spacing w:before="120" w:after="120"/>
        <w:ind w:firstLine="720"/>
        <w:rPr>
          <w:snapToGrid w:val="0"/>
          <w:kern w:val="22"/>
          <w:szCs w:val="22"/>
          <w:lang w:val="fr-FR" w:eastAsia="fr-FR"/>
        </w:rPr>
      </w:pPr>
      <w:r w:rsidRPr="00D41406">
        <w:rPr>
          <w:i/>
          <w:snapToGrid w:val="0"/>
          <w:kern w:val="22"/>
          <w:szCs w:val="22"/>
          <w:lang w:val="fr-FR" w:eastAsia="fr-FR"/>
        </w:rPr>
        <w:t>Notant avec satisfaction</w:t>
      </w:r>
      <w:r w:rsidRPr="00D41406">
        <w:rPr>
          <w:kern w:val="22"/>
          <w:szCs w:val="22"/>
          <w:lang w:val="fr-FR" w:eastAsia="fr-FR"/>
        </w:rPr>
        <w:t xml:space="preserve"> le rapport du Fonds pour l'environnement mondial</w:t>
      </w:r>
      <w:r w:rsidRPr="00D41406">
        <w:rPr>
          <w:snapToGrid w:val="0"/>
          <w:szCs w:val="18"/>
          <w:vertAlign w:val="superscript"/>
          <w:lang w:val="fr-FR" w:eastAsia="fr-FR"/>
        </w:rPr>
        <w:footnoteReference w:id="1"/>
      </w:r>
      <w:r w:rsidRPr="00D41406">
        <w:rPr>
          <w:kern w:val="22"/>
          <w:szCs w:val="22"/>
          <w:lang w:val="fr-FR" w:eastAsia="fr-FR"/>
        </w:rPr>
        <w:t xml:space="preserve">, </w:t>
      </w:r>
    </w:p>
    <w:p w14:paraId="2686DEEB" w14:textId="77777777" w:rsidR="00D41406" w:rsidRPr="00D41406" w:rsidRDefault="00D41406" w:rsidP="00D41406">
      <w:pPr>
        <w:suppressLineNumbers/>
        <w:suppressAutoHyphens/>
        <w:kinsoku w:val="0"/>
        <w:overflowPunct w:val="0"/>
        <w:autoSpaceDE w:val="0"/>
        <w:autoSpaceDN w:val="0"/>
        <w:adjustRightInd w:val="0"/>
        <w:snapToGrid w:val="0"/>
        <w:spacing w:before="120" w:after="120"/>
        <w:ind w:firstLine="720"/>
        <w:rPr>
          <w:iCs/>
          <w:kern w:val="22"/>
          <w:szCs w:val="22"/>
          <w:lang w:val="fr-FR" w:eastAsia="fr-FR"/>
        </w:rPr>
      </w:pPr>
      <w:r w:rsidRPr="00D41406">
        <w:rPr>
          <w:i/>
          <w:iCs/>
          <w:kern w:val="22"/>
          <w:szCs w:val="22"/>
          <w:lang w:val="fr-FR" w:eastAsia="fr-FR"/>
        </w:rPr>
        <w:t xml:space="preserve">Prenant note </w:t>
      </w:r>
      <w:r w:rsidRPr="00D41406">
        <w:rPr>
          <w:iCs/>
          <w:kern w:val="22"/>
          <w:szCs w:val="22"/>
          <w:lang w:val="fr-FR" w:eastAsia="fr-FR"/>
        </w:rPr>
        <w:t>des informations relatives à l'application de l'article 21 de la Convention qui figurent dans la note de la Secrétaire exécutive sur le mécanisme de financement</w:t>
      </w:r>
      <w:r w:rsidRPr="00D41406">
        <w:rPr>
          <w:snapToGrid w:val="0"/>
          <w:kern w:val="22"/>
          <w:szCs w:val="22"/>
          <w:vertAlign w:val="superscript"/>
          <w:lang w:val="fr-FR" w:eastAsia="fr-FR"/>
        </w:rPr>
        <w:footnoteReference w:id="2"/>
      </w:r>
      <w:r w:rsidRPr="00D41406">
        <w:rPr>
          <w:iCs/>
          <w:kern w:val="22"/>
          <w:szCs w:val="22"/>
          <w:lang w:val="fr-FR" w:eastAsia="fr-FR"/>
        </w:rPr>
        <w:t>,</w:t>
      </w:r>
    </w:p>
    <w:p w14:paraId="1F22A262" w14:textId="77777777" w:rsidR="00D41406" w:rsidRPr="00D41406" w:rsidRDefault="00D41406" w:rsidP="00D41406">
      <w:pPr>
        <w:suppressLineNumbers/>
        <w:suppressAutoHyphens/>
        <w:kinsoku w:val="0"/>
        <w:overflowPunct w:val="0"/>
        <w:autoSpaceDE w:val="0"/>
        <w:autoSpaceDN w:val="0"/>
        <w:adjustRightInd w:val="0"/>
        <w:snapToGrid w:val="0"/>
        <w:spacing w:before="120" w:after="120"/>
        <w:ind w:firstLine="720"/>
        <w:rPr>
          <w:iCs/>
          <w:kern w:val="22"/>
          <w:szCs w:val="22"/>
          <w:lang w:val="fr-FR" w:eastAsia="fr-FR"/>
        </w:rPr>
      </w:pPr>
      <w:r w:rsidRPr="00D41406">
        <w:rPr>
          <w:i/>
          <w:iCs/>
          <w:kern w:val="22"/>
          <w:szCs w:val="22"/>
          <w:lang w:val="fr-FR" w:eastAsia="fr-FR"/>
        </w:rPr>
        <w:t xml:space="preserve">Ayant pris connaissance </w:t>
      </w:r>
      <w:r w:rsidRPr="00D41406">
        <w:rPr>
          <w:iCs/>
          <w:kern w:val="22"/>
          <w:szCs w:val="22"/>
          <w:lang w:val="fr-FR" w:eastAsia="fr-FR"/>
        </w:rPr>
        <w:t>de la recommandation 2/7 relative à l'examen de la mise en œuvre du mécanisme de financement (article 21),</w:t>
      </w:r>
    </w:p>
    <w:p w14:paraId="0EBC483F" w14:textId="4F8471D5" w:rsidR="00D41406" w:rsidRPr="00D41406" w:rsidRDefault="00D41406" w:rsidP="00D41406">
      <w:pPr>
        <w:suppressLineNumbers/>
        <w:suppressAutoHyphens/>
        <w:kinsoku w:val="0"/>
        <w:overflowPunct w:val="0"/>
        <w:autoSpaceDE w:val="0"/>
        <w:autoSpaceDN w:val="0"/>
        <w:adjustRightInd w:val="0"/>
        <w:snapToGrid w:val="0"/>
        <w:spacing w:before="120" w:after="120"/>
        <w:ind w:firstLine="720"/>
        <w:rPr>
          <w:b/>
          <w:kern w:val="22"/>
          <w:szCs w:val="22"/>
          <w:lang w:val="fr-FR" w:eastAsia="fr-FR"/>
        </w:rPr>
      </w:pPr>
      <w:r w:rsidRPr="00D41406">
        <w:rPr>
          <w:iCs/>
          <w:kern w:val="22"/>
          <w:szCs w:val="22"/>
          <w:lang w:val="fr-FR" w:eastAsia="fr-FR"/>
        </w:rPr>
        <w:t>1.</w:t>
      </w:r>
      <w:r w:rsidRPr="00D41406">
        <w:rPr>
          <w:iCs/>
          <w:kern w:val="22"/>
          <w:szCs w:val="22"/>
          <w:lang w:val="fr-FR" w:eastAsia="fr-FR"/>
        </w:rPr>
        <w:tab/>
      </w:r>
      <w:r w:rsidRPr="00D41406">
        <w:rPr>
          <w:i/>
          <w:iCs/>
          <w:kern w:val="22"/>
          <w:szCs w:val="22"/>
          <w:lang w:val="fr-FR" w:eastAsia="fr-FR"/>
        </w:rPr>
        <w:t>Accueille avec satisfaction</w:t>
      </w:r>
      <w:r w:rsidRPr="00D41406">
        <w:rPr>
          <w:iCs/>
          <w:kern w:val="22"/>
          <w:szCs w:val="22"/>
          <w:lang w:val="fr-FR" w:eastAsia="fr-FR"/>
        </w:rPr>
        <w:t xml:space="preserve"> la conclusion réussie de la septième reconstitution du Fonds d'affectation spéciale du Fonds pour l’environnement mondial, et </w:t>
      </w:r>
      <w:r w:rsidRPr="00D41406">
        <w:rPr>
          <w:i/>
          <w:iCs/>
          <w:kern w:val="22"/>
          <w:szCs w:val="22"/>
          <w:lang w:val="fr-FR" w:eastAsia="fr-FR"/>
        </w:rPr>
        <w:t>exprime ses remerciements</w:t>
      </w:r>
      <w:r w:rsidRPr="00D41406">
        <w:rPr>
          <w:iCs/>
          <w:kern w:val="22"/>
          <w:szCs w:val="22"/>
          <w:lang w:val="fr-FR" w:eastAsia="fr-FR"/>
        </w:rPr>
        <w:t xml:space="preserve"> pour le soutien financier continu des Parties et des gouvernements en faveur de l’exécution des tâches du Plan stratégique pour la diversité biologique 2011-2020 dans ses dernières années et pour leur appui à la mise en œuvre du cadre mondial de la bio</w:t>
      </w:r>
      <w:r w:rsidR="000371DF">
        <w:rPr>
          <w:iCs/>
          <w:kern w:val="22"/>
          <w:szCs w:val="22"/>
          <w:lang w:val="fr-FR" w:eastAsia="fr-FR"/>
        </w:rPr>
        <w:t>diversité pour l’après-2020 dans</w:t>
      </w:r>
      <w:r w:rsidRPr="00D41406">
        <w:rPr>
          <w:iCs/>
          <w:kern w:val="22"/>
          <w:szCs w:val="22"/>
          <w:lang w:val="fr-FR" w:eastAsia="fr-FR"/>
        </w:rPr>
        <w:t xml:space="preserve"> ses deux premières années ;</w:t>
      </w:r>
    </w:p>
    <w:p w14:paraId="682C46AA" w14:textId="77777777" w:rsidR="00D41406" w:rsidRPr="00D41406" w:rsidRDefault="00D41406" w:rsidP="00D41406">
      <w:pPr>
        <w:suppressLineNumbers/>
        <w:suppressAutoHyphens/>
        <w:kinsoku w:val="0"/>
        <w:overflowPunct w:val="0"/>
        <w:autoSpaceDE w:val="0"/>
        <w:autoSpaceDN w:val="0"/>
        <w:adjustRightInd w:val="0"/>
        <w:snapToGrid w:val="0"/>
        <w:spacing w:before="120" w:after="120"/>
        <w:ind w:firstLine="720"/>
        <w:rPr>
          <w:iCs/>
          <w:kern w:val="22"/>
          <w:szCs w:val="22"/>
          <w:lang w:val="fr-FR" w:eastAsia="fr-FR"/>
        </w:rPr>
      </w:pPr>
      <w:r w:rsidRPr="00D41406">
        <w:rPr>
          <w:iCs/>
          <w:kern w:val="22"/>
          <w:szCs w:val="22"/>
          <w:lang w:val="fr-FR" w:eastAsia="fr-FR"/>
        </w:rPr>
        <w:t>2.</w:t>
      </w:r>
      <w:r w:rsidRPr="00D41406">
        <w:rPr>
          <w:iCs/>
          <w:kern w:val="22"/>
          <w:szCs w:val="22"/>
          <w:lang w:val="fr-FR" w:eastAsia="fr-FR"/>
        </w:rPr>
        <w:tab/>
      </w:r>
      <w:r w:rsidRPr="00D41406">
        <w:rPr>
          <w:i/>
          <w:iCs/>
          <w:kern w:val="22"/>
          <w:szCs w:val="22"/>
          <w:lang w:val="fr-FR" w:eastAsia="fr-FR"/>
        </w:rPr>
        <w:t>Note</w:t>
      </w:r>
      <w:r w:rsidRPr="00D41406">
        <w:rPr>
          <w:iCs/>
          <w:kern w:val="22"/>
          <w:szCs w:val="22"/>
          <w:lang w:val="fr-FR" w:eastAsia="fr-FR"/>
        </w:rPr>
        <w:t xml:space="preserve"> que les indications de programmation relatives à la diversité biologique pour la septième reconstitution des ressources du Fonds d'affectation spéciale reflètent les orientations adoptées par la Conférence des Parties à sa treizième réunion, qui comprennent les orientations consolidées au mécanisme de financement et le cadre quadriennal des priorités de programme (juillet 2018 à juin 2022), ainsi que de plus amples directives</w:t>
      </w:r>
      <w:r w:rsidRPr="00D41406">
        <w:rPr>
          <w:iCs/>
          <w:kern w:val="22"/>
          <w:szCs w:val="22"/>
          <w:vertAlign w:val="superscript"/>
          <w:lang w:val="fr-FR" w:eastAsia="fr-FR"/>
        </w:rPr>
        <w:footnoteReference w:id="3"/>
      </w:r>
      <w:r w:rsidRPr="00D41406">
        <w:rPr>
          <w:iCs/>
          <w:kern w:val="22"/>
          <w:szCs w:val="22"/>
          <w:lang w:val="fr-FR" w:eastAsia="fr-FR"/>
        </w:rPr>
        <w:t> ;</w:t>
      </w:r>
    </w:p>
    <w:p w14:paraId="059FE74A" w14:textId="42BFD6D2" w:rsidR="00D41406" w:rsidRPr="00D41406" w:rsidRDefault="00D41406" w:rsidP="00D41406">
      <w:pPr>
        <w:suppressLineNumbers/>
        <w:suppressAutoHyphens/>
        <w:kinsoku w:val="0"/>
        <w:overflowPunct w:val="0"/>
        <w:autoSpaceDE w:val="0"/>
        <w:autoSpaceDN w:val="0"/>
        <w:adjustRightInd w:val="0"/>
        <w:snapToGrid w:val="0"/>
        <w:spacing w:before="120" w:after="120"/>
        <w:ind w:firstLine="709"/>
        <w:rPr>
          <w:kern w:val="22"/>
          <w:szCs w:val="22"/>
          <w:lang w:val="fr-FR" w:eastAsia="fr-FR"/>
        </w:rPr>
      </w:pPr>
      <w:r w:rsidRPr="00D41406">
        <w:rPr>
          <w:snapToGrid w:val="0"/>
          <w:kern w:val="22"/>
          <w:szCs w:val="22"/>
          <w:lang w:val="fr-FR" w:eastAsia="fr-FR"/>
        </w:rPr>
        <w:t>3.</w:t>
      </w:r>
      <w:r w:rsidRPr="00D41406">
        <w:rPr>
          <w:snapToGrid w:val="0"/>
          <w:kern w:val="22"/>
          <w:szCs w:val="22"/>
          <w:lang w:val="fr-FR" w:eastAsia="fr-FR"/>
        </w:rPr>
        <w:tab/>
      </w:r>
      <w:r w:rsidRPr="00D41406">
        <w:rPr>
          <w:i/>
          <w:kern w:val="22"/>
          <w:szCs w:val="22"/>
          <w:lang w:val="fr-FR" w:eastAsia="fr-FR"/>
        </w:rPr>
        <w:t>Se félicite</w:t>
      </w:r>
      <w:r w:rsidRPr="00D41406">
        <w:rPr>
          <w:kern w:val="22"/>
          <w:szCs w:val="22"/>
          <w:lang w:val="fr-FR" w:eastAsia="fr-FR"/>
        </w:rPr>
        <w:t xml:space="preserve"> du processus entrepris par le Fonds pour l’environnement mondial pour analyser et améliorer ses garanties environnementales et sociales et les systèmes correspondants de ses agences, ainsi que ses orientations visant à intégrer la question du genre dans sa nouvelle stratégie de mise en œuvre </w:t>
      </w:r>
      <w:r w:rsidRPr="00D41406">
        <w:rPr>
          <w:kern w:val="22"/>
          <w:szCs w:val="22"/>
          <w:lang w:val="fr-FR" w:eastAsia="fr-FR"/>
        </w:rPr>
        <w:lastRenderedPageBreak/>
        <w:t xml:space="preserve">de la politique d’égalité des sexes, en notant que les résultats seront applicables à tous les projets financés par le Fonds, et </w:t>
      </w:r>
      <w:r w:rsidRPr="00D41406">
        <w:rPr>
          <w:i/>
          <w:kern w:val="22"/>
          <w:szCs w:val="22"/>
          <w:lang w:val="fr-FR" w:eastAsia="fr-FR"/>
        </w:rPr>
        <w:t>invite</w:t>
      </w:r>
      <w:r w:rsidRPr="00D41406">
        <w:rPr>
          <w:kern w:val="22"/>
          <w:szCs w:val="22"/>
          <w:lang w:val="fr-FR" w:eastAsia="fr-FR"/>
        </w:rPr>
        <w:t xml:space="preserve"> le Fonds à informer la Conférence des Parties de la manière dont il prend en compte les lignes directrices facultatives de la Convention sur les garanties dans les mécanismes de financement de </w:t>
      </w:r>
      <w:r w:rsidR="00B05A94">
        <w:rPr>
          <w:kern w:val="22"/>
          <w:szCs w:val="22"/>
          <w:lang w:val="fr-FR" w:eastAsia="fr-FR"/>
        </w:rPr>
        <w:t>la diversité biologique dans cet</w:t>
      </w:r>
      <w:r w:rsidRPr="00D41406">
        <w:rPr>
          <w:kern w:val="22"/>
          <w:szCs w:val="22"/>
          <w:lang w:val="fr-FR" w:eastAsia="fr-FR"/>
        </w:rPr>
        <w:t xml:space="preserve"> important processus ;</w:t>
      </w:r>
    </w:p>
    <w:p w14:paraId="6278BB34" w14:textId="77777777" w:rsidR="00D41406" w:rsidRPr="00D41406" w:rsidRDefault="00D41406" w:rsidP="00D41406">
      <w:pPr>
        <w:suppressLineNumbers/>
        <w:suppressAutoHyphens/>
        <w:kinsoku w:val="0"/>
        <w:overflowPunct w:val="0"/>
        <w:autoSpaceDE w:val="0"/>
        <w:autoSpaceDN w:val="0"/>
        <w:adjustRightInd w:val="0"/>
        <w:snapToGrid w:val="0"/>
        <w:spacing w:before="120" w:after="120"/>
        <w:ind w:firstLine="720"/>
        <w:rPr>
          <w:kern w:val="22"/>
          <w:szCs w:val="22"/>
          <w:lang w:val="fr-FR" w:eastAsia="fr-FR"/>
        </w:rPr>
      </w:pPr>
      <w:r w:rsidRPr="00D41406">
        <w:rPr>
          <w:kern w:val="22"/>
          <w:szCs w:val="22"/>
          <w:lang w:val="fr-FR" w:eastAsia="fr-FR"/>
        </w:rPr>
        <w:t>4.</w:t>
      </w:r>
      <w:r w:rsidRPr="00D41406">
        <w:rPr>
          <w:kern w:val="22"/>
          <w:szCs w:val="22"/>
          <w:lang w:val="fr-FR" w:eastAsia="fr-FR"/>
        </w:rPr>
        <w:tab/>
      </w:r>
      <w:r w:rsidRPr="00D41406">
        <w:rPr>
          <w:i/>
          <w:kern w:val="22"/>
          <w:szCs w:val="22"/>
          <w:lang w:val="fr-FR" w:eastAsia="fr-FR"/>
        </w:rPr>
        <w:t>Prend note</w:t>
      </w:r>
      <w:r w:rsidRPr="00D41406">
        <w:rPr>
          <w:kern w:val="22"/>
          <w:szCs w:val="22"/>
          <w:lang w:val="fr-FR" w:eastAsia="fr-FR"/>
        </w:rPr>
        <w:t xml:space="preserve"> de l'examen et de la mise à jour en cours de la politique du Fonds pour l'environnement mondial sur les sauvegardes et les règles d'engagement avec les peuples autochtones par rapport aux critères de bonnes pratiques ;</w:t>
      </w:r>
    </w:p>
    <w:p w14:paraId="4CB29201" w14:textId="77777777" w:rsidR="00D41406" w:rsidRPr="00D41406" w:rsidRDefault="00D41406" w:rsidP="00D41406">
      <w:pPr>
        <w:suppressLineNumbers/>
        <w:suppressAutoHyphens/>
        <w:kinsoku w:val="0"/>
        <w:overflowPunct w:val="0"/>
        <w:autoSpaceDE w:val="0"/>
        <w:autoSpaceDN w:val="0"/>
        <w:adjustRightInd w:val="0"/>
        <w:snapToGrid w:val="0"/>
        <w:spacing w:before="120" w:after="120"/>
        <w:ind w:firstLine="720"/>
        <w:rPr>
          <w:kern w:val="22"/>
          <w:szCs w:val="22"/>
          <w:lang w:val="fr-FR" w:eastAsia="fr-FR"/>
        </w:rPr>
      </w:pPr>
      <w:r w:rsidRPr="00D41406">
        <w:rPr>
          <w:kern w:val="22"/>
          <w:szCs w:val="22"/>
          <w:lang w:val="fr-FR" w:eastAsia="fr-FR"/>
        </w:rPr>
        <w:t>5.</w:t>
      </w:r>
      <w:r w:rsidRPr="00D41406">
        <w:rPr>
          <w:kern w:val="22"/>
          <w:szCs w:val="22"/>
          <w:lang w:val="fr-FR" w:eastAsia="fr-FR"/>
        </w:rPr>
        <w:tab/>
      </w:r>
      <w:r w:rsidRPr="00D41406">
        <w:rPr>
          <w:i/>
          <w:kern w:val="22"/>
          <w:szCs w:val="22"/>
          <w:lang w:val="fr-FR" w:eastAsia="fr-FR"/>
        </w:rPr>
        <w:t>Invite</w:t>
      </w:r>
      <w:r w:rsidRPr="00D41406">
        <w:rPr>
          <w:kern w:val="22"/>
          <w:szCs w:val="22"/>
          <w:lang w:val="fr-FR" w:eastAsia="fr-FR"/>
        </w:rPr>
        <w:t xml:space="preserve"> les Parties, tout en utilisant des allocations de la septième reconstitution, à soutenir l’action collective et les contributions des peuples autochtones et des communautés locales à la réalisation des Objectifs d'Aichi pour la biodiversité, par le biais, selon qu’il convient, de programmes, projets et activités des peuples autochtones et des communautés locales, y compris le Programme de microfinancements du Fonds pour l’environnement mondial ;</w:t>
      </w:r>
    </w:p>
    <w:p w14:paraId="79982194" w14:textId="77777777" w:rsidR="00D41406" w:rsidRPr="00D41406" w:rsidRDefault="00D41406" w:rsidP="00D41406">
      <w:pPr>
        <w:suppressLineNumbers/>
        <w:suppressAutoHyphens/>
        <w:kinsoku w:val="0"/>
        <w:overflowPunct w:val="0"/>
        <w:autoSpaceDE w:val="0"/>
        <w:autoSpaceDN w:val="0"/>
        <w:adjustRightInd w:val="0"/>
        <w:snapToGrid w:val="0"/>
        <w:spacing w:before="120" w:after="120"/>
        <w:ind w:firstLine="720"/>
        <w:rPr>
          <w:kern w:val="22"/>
          <w:szCs w:val="22"/>
          <w:lang w:val="fr-FR" w:eastAsia="fr-FR"/>
        </w:rPr>
      </w:pPr>
      <w:r w:rsidRPr="00D41406">
        <w:rPr>
          <w:kern w:val="22"/>
          <w:szCs w:val="22"/>
          <w:lang w:val="fr-FR" w:eastAsia="fr-FR"/>
        </w:rPr>
        <w:t>6.</w:t>
      </w:r>
      <w:r w:rsidRPr="00D41406">
        <w:rPr>
          <w:kern w:val="22"/>
          <w:szCs w:val="22"/>
          <w:lang w:val="fr-FR" w:eastAsia="fr-FR"/>
        </w:rPr>
        <w:tab/>
      </w:r>
      <w:r w:rsidRPr="00D41406">
        <w:rPr>
          <w:i/>
          <w:kern w:val="22"/>
          <w:szCs w:val="22"/>
          <w:lang w:val="fr-FR" w:eastAsia="fr-FR"/>
        </w:rPr>
        <w:t>Invite</w:t>
      </w:r>
      <w:r w:rsidRPr="00D41406">
        <w:rPr>
          <w:kern w:val="22"/>
          <w:szCs w:val="22"/>
          <w:lang w:val="fr-FR" w:eastAsia="fr-FR"/>
        </w:rPr>
        <w:t xml:space="preserve"> le Fonds pour l'environnement mondial à maintenir, de manière efficace, son appui des activités de mise en œuvre nationales dans le cadre du Plan stratégique pour la diversité biologique 2011-2020, afin de permettre aux Parties d'accroître leurs progrès en vue de la réalisation des Objectifs d'Aichi d'ici 2020 ;</w:t>
      </w:r>
    </w:p>
    <w:p w14:paraId="5C4D1636" w14:textId="77777777" w:rsidR="00D41406" w:rsidRPr="00D41406" w:rsidRDefault="00D41406" w:rsidP="00D41406">
      <w:pPr>
        <w:suppressLineNumbers/>
        <w:suppressAutoHyphens/>
        <w:kinsoku w:val="0"/>
        <w:overflowPunct w:val="0"/>
        <w:autoSpaceDE w:val="0"/>
        <w:autoSpaceDN w:val="0"/>
        <w:adjustRightInd w:val="0"/>
        <w:snapToGrid w:val="0"/>
        <w:spacing w:before="120" w:after="120"/>
        <w:ind w:firstLine="720"/>
        <w:rPr>
          <w:iCs/>
          <w:kern w:val="22"/>
          <w:szCs w:val="22"/>
          <w:lang w:val="fr-FR" w:eastAsia="fr-FR"/>
        </w:rPr>
      </w:pPr>
      <w:r w:rsidRPr="00D41406">
        <w:rPr>
          <w:kern w:val="22"/>
          <w:szCs w:val="22"/>
          <w:lang w:val="fr-FR" w:eastAsia="fr-FR"/>
        </w:rPr>
        <w:t>7.</w:t>
      </w:r>
      <w:r w:rsidRPr="00D41406">
        <w:rPr>
          <w:kern w:val="22"/>
          <w:szCs w:val="22"/>
          <w:lang w:val="fr-FR" w:eastAsia="fr-FR"/>
        </w:rPr>
        <w:tab/>
      </w:r>
      <w:r w:rsidRPr="00D41406">
        <w:rPr>
          <w:i/>
          <w:kern w:val="22"/>
          <w:szCs w:val="22"/>
          <w:lang w:val="fr-FR" w:eastAsia="fr-FR"/>
        </w:rPr>
        <w:t>Invite</w:t>
      </w:r>
      <w:r w:rsidRPr="00D41406">
        <w:rPr>
          <w:iCs/>
          <w:kern w:val="22"/>
          <w:szCs w:val="22"/>
          <w:lang w:val="fr-FR" w:eastAsia="fr-FR"/>
        </w:rPr>
        <w:t xml:space="preserve"> le Fonds pour l’environnement mondial, en accord avec les orientations consolidées contenues à la décision XIII/21, à continuer de fournir à toutes les Parties admissibles un appui pour le renforcement des capacités :</w:t>
      </w:r>
    </w:p>
    <w:p w14:paraId="145A01BE" w14:textId="77777777" w:rsidR="00D41406" w:rsidRPr="00D41406" w:rsidRDefault="00D41406" w:rsidP="00D41406">
      <w:pPr>
        <w:suppressLineNumbers/>
        <w:tabs>
          <w:tab w:val="left" w:pos="1440"/>
        </w:tabs>
        <w:suppressAutoHyphens/>
        <w:kinsoku w:val="0"/>
        <w:overflowPunct w:val="0"/>
        <w:autoSpaceDE w:val="0"/>
        <w:autoSpaceDN w:val="0"/>
        <w:adjustRightInd w:val="0"/>
        <w:snapToGrid w:val="0"/>
        <w:spacing w:before="120" w:after="120"/>
        <w:ind w:firstLine="720"/>
        <w:rPr>
          <w:iCs/>
          <w:kern w:val="22"/>
          <w:szCs w:val="22"/>
          <w:lang w:val="fr-FR" w:eastAsia="fr-FR"/>
        </w:rPr>
      </w:pPr>
      <w:r w:rsidRPr="00D41406">
        <w:rPr>
          <w:iCs/>
          <w:kern w:val="22"/>
          <w:szCs w:val="22"/>
          <w:lang w:val="fr-FR" w:eastAsia="fr-FR"/>
        </w:rPr>
        <w:t>a)</w:t>
      </w:r>
      <w:r w:rsidRPr="00D41406">
        <w:rPr>
          <w:iCs/>
          <w:kern w:val="22"/>
          <w:szCs w:val="22"/>
          <w:lang w:val="fr-FR" w:eastAsia="fr-FR"/>
        </w:rPr>
        <w:tab/>
        <w:t>Sur les questions identifiées par les Parties pour faciliter la mise en œuvre du Protocole de Cartagena sur la prévention des risques biotechnologiques et du Protocole de Nagoya sur l'accès et le partage des avantages, y compris les projets de coopération régionale, dans le but de faciliter le partage des expériences et des enseignements tirés, et de tirer profit des synergies qui en découlent ;</w:t>
      </w:r>
    </w:p>
    <w:p w14:paraId="5C018D9E" w14:textId="77777777" w:rsidR="00D41406" w:rsidRPr="00D41406" w:rsidRDefault="00D41406" w:rsidP="00D41406">
      <w:pPr>
        <w:suppressLineNumbers/>
        <w:tabs>
          <w:tab w:val="left" w:pos="1440"/>
        </w:tabs>
        <w:suppressAutoHyphens/>
        <w:kinsoku w:val="0"/>
        <w:overflowPunct w:val="0"/>
        <w:autoSpaceDE w:val="0"/>
        <w:autoSpaceDN w:val="0"/>
        <w:adjustRightInd w:val="0"/>
        <w:snapToGrid w:val="0"/>
        <w:spacing w:before="120" w:after="120"/>
        <w:ind w:firstLine="720"/>
        <w:rPr>
          <w:iCs/>
          <w:kern w:val="22"/>
          <w:szCs w:val="22"/>
          <w:lang w:val="fr-FR" w:eastAsia="fr-FR"/>
        </w:rPr>
      </w:pPr>
      <w:r w:rsidRPr="00D41406">
        <w:rPr>
          <w:iCs/>
          <w:kern w:val="22"/>
          <w:szCs w:val="22"/>
          <w:lang w:val="fr-FR" w:eastAsia="fr-FR"/>
        </w:rPr>
        <w:t>b)</w:t>
      </w:r>
      <w:r w:rsidRPr="00D41406">
        <w:rPr>
          <w:iCs/>
          <w:kern w:val="22"/>
          <w:szCs w:val="22"/>
          <w:lang w:val="fr-FR" w:eastAsia="fr-FR"/>
        </w:rPr>
        <w:tab/>
        <w:t>Sur l’utilisation du Centre d'échange sur l'accès et le partage des avantages, sur la base des expériences et des enseignements tirés du projet sur le renforcement continu des capacités pour une participation efficace au Centre d'échange pour la prévention des risques biotechnologiques et en utilisant les ressources du domaine d’intervention de la biodiversité ;</w:t>
      </w:r>
    </w:p>
    <w:p w14:paraId="42A2DE0F" w14:textId="6CF820E3" w:rsidR="00D41406" w:rsidRPr="00D41406" w:rsidRDefault="00D41406" w:rsidP="00D41406">
      <w:pPr>
        <w:suppressLineNumbers/>
        <w:suppressAutoHyphens/>
        <w:kinsoku w:val="0"/>
        <w:overflowPunct w:val="0"/>
        <w:autoSpaceDE w:val="0"/>
        <w:autoSpaceDN w:val="0"/>
        <w:adjustRightInd w:val="0"/>
        <w:snapToGrid w:val="0"/>
        <w:spacing w:before="120" w:after="120"/>
        <w:ind w:firstLine="709"/>
        <w:rPr>
          <w:snapToGrid w:val="0"/>
          <w:kern w:val="22"/>
          <w:szCs w:val="22"/>
          <w:lang w:val="fr-FR" w:eastAsia="fr-FR"/>
        </w:rPr>
      </w:pPr>
      <w:r w:rsidRPr="00D41406">
        <w:rPr>
          <w:kern w:val="22"/>
          <w:szCs w:val="22"/>
          <w:lang w:val="fr-FR" w:eastAsia="fr-FR"/>
        </w:rPr>
        <w:t>8.</w:t>
      </w:r>
      <w:r w:rsidRPr="00D41406">
        <w:rPr>
          <w:kern w:val="22"/>
          <w:szCs w:val="22"/>
          <w:lang w:val="fr-FR" w:eastAsia="fr-FR"/>
        </w:rPr>
        <w:tab/>
      </w:r>
      <w:r w:rsidRPr="00D41406">
        <w:rPr>
          <w:i/>
          <w:snapToGrid w:val="0"/>
          <w:kern w:val="22"/>
          <w:szCs w:val="22"/>
          <w:lang w:val="fr-FR" w:eastAsia="fr-FR"/>
        </w:rPr>
        <w:t>Invite</w:t>
      </w:r>
      <w:r w:rsidRPr="00D41406">
        <w:rPr>
          <w:snapToGrid w:val="0"/>
          <w:kern w:val="22"/>
          <w:szCs w:val="22"/>
          <w:lang w:val="fr-FR" w:eastAsia="fr-FR"/>
        </w:rPr>
        <w:t xml:space="preserve"> le Fonds pour l'environnement mondial à continuer de dégager des fonds afin de soutenir les Parties ad</w:t>
      </w:r>
      <w:r w:rsidR="00840264">
        <w:rPr>
          <w:snapToGrid w:val="0"/>
          <w:kern w:val="22"/>
          <w:szCs w:val="22"/>
          <w:lang w:val="fr-FR" w:eastAsia="fr-FR"/>
        </w:rPr>
        <w:t xml:space="preserve">missibles dans l’application </w:t>
      </w:r>
      <w:r w:rsidRPr="00D41406">
        <w:rPr>
          <w:snapToGrid w:val="0"/>
          <w:kern w:val="22"/>
          <w:szCs w:val="22"/>
          <w:lang w:val="fr-FR" w:eastAsia="fr-FR"/>
        </w:rPr>
        <w:t>du Protocole de Cartagena, en particulier :</w:t>
      </w:r>
    </w:p>
    <w:p w14:paraId="7D2DC25B" w14:textId="11BA6319" w:rsidR="00D41406" w:rsidRPr="00D41406" w:rsidRDefault="00D41406" w:rsidP="00D41406">
      <w:pPr>
        <w:suppressLineNumbers/>
        <w:suppressAutoHyphens/>
        <w:kinsoku w:val="0"/>
        <w:overflowPunct w:val="0"/>
        <w:autoSpaceDE w:val="0"/>
        <w:autoSpaceDN w:val="0"/>
        <w:adjustRightInd w:val="0"/>
        <w:snapToGrid w:val="0"/>
        <w:spacing w:before="120" w:after="120"/>
        <w:ind w:firstLine="709"/>
        <w:rPr>
          <w:snapToGrid w:val="0"/>
          <w:kern w:val="22"/>
          <w:szCs w:val="22"/>
          <w:lang w:val="fr-FR" w:eastAsia="fr-FR"/>
        </w:rPr>
      </w:pPr>
      <w:r w:rsidRPr="00D41406">
        <w:rPr>
          <w:snapToGrid w:val="0"/>
          <w:kern w:val="22"/>
          <w:szCs w:val="22"/>
          <w:lang w:val="fr-FR" w:eastAsia="fr-FR"/>
        </w:rPr>
        <w:t>a)</w:t>
      </w:r>
      <w:r w:rsidRPr="00D41406">
        <w:rPr>
          <w:snapToGrid w:val="0"/>
          <w:kern w:val="22"/>
          <w:szCs w:val="22"/>
          <w:lang w:val="fr-FR" w:eastAsia="fr-FR"/>
        </w:rPr>
        <w:tab/>
        <w:t>Aider les P</w:t>
      </w:r>
      <w:r w:rsidR="00655A36">
        <w:rPr>
          <w:snapToGrid w:val="0"/>
          <w:kern w:val="22"/>
          <w:szCs w:val="22"/>
          <w:lang w:val="fr-FR" w:eastAsia="fr-FR"/>
        </w:rPr>
        <w:t>arties admissible</w:t>
      </w:r>
      <w:r w:rsidR="00840264">
        <w:rPr>
          <w:snapToGrid w:val="0"/>
          <w:kern w:val="22"/>
          <w:szCs w:val="22"/>
          <w:lang w:val="fr-FR" w:eastAsia="fr-FR"/>
        </w:rPr>
        <w:t>s</w:t>
      </w:r>
      <w:r w:rsidR="00655A36">
        <w:rPr>
          <w:snapToGrid w:val="0"/>
          <w:kern w:val="22"/>
          <w:szCs w:val="22"/>
          <w:lang w:val="fr-FR" w:eastAsia="fr-FR"/>
        </w:rPr>
        <w:t xml:space="preserve"> qui ne l’ont pas encore fait</w:t>
      </w:r>
      <w:r w:rsidR="00840264">
        <w:rPr>
          <w:snapToGrid w:val="0"/>
          <w:kern w:val="22"/>
          <w:szCs w:val="22"/>
          <w:lang w:val="fr-FR" w:eastAsia="fr-FR"/>
        </w:rPr>
        <w:t>,</w:t>
      </w:r>
      <w:r w:rsidRPr="00D41406">
        <w:rPr>
          <w:snapToGrid w:val="0"/>
          <w:kern w:val="22"/>
          <w:szCs w:val="22"/>
          <w:lang w:val="fr-FR" w:eastAsia="fr-FR"/>
        </w:rPr>
        <w:t xml:space="preserve"> à adopter toutes les mesures </w:t>
      </w:r>
      <w:r w:rsidR="00655A36">
        <w:rPr>
          <w:snapToGrid w:val="0"/>
          <w:kern w:val="22"/>
          <w:szCs w:val="22"/>
          <w:lang w:val="fr-FR" w:eastAsia="fr-FR"/>
        </w:rPr>
        <w:t>nécessaires pour appliquer</w:t>
      </w:r>
      <w:r w:rsidRPr="00D41406">
        <w:rPr>
          <w:snapToGrid w:val="0"/>
          <w:kern w:val="22"/>
          <w:szCs w:val="22"/>
          <w:lang w:val="fr-FR" w:eastAsia="fr-FR"/>
        </w:rPr>
        <w:t xml:space="preserve"> le Protocole ;</w:t>
      </w:r>
    </w:p>
    <w:p w14:paraId="5F862640" w14:textId="705FB39C" w:rsidR="00D41406" w:rsidRPr="00D41406" w:rsidRDefault="00D41406" w:rsidP="00D41406">
      <w:pPr>
        <w:suppressLineNumbers/>
        <w:suppressAutoHyphens/>
        <w:kinsoku w:val="0"/>
        <w:overflowPunct w:val="0"/>
        <w:autoSpaceDE w:val="0"/>
        <w:autoSpaceDN w:val="0"/>
        <w:adjustRightInd w:val="0"/>
        <w:snapToGrid w:val="0"/>
        <w:spacing w:before="120" w:after="120"/>
        <w:ind w:firstLine="709"/>
        <w:rPr>
          <w:snapToGrid w:val="0"/>
          <w:kern w:val="22"/>
          <w:szCs w:val="22"/>
          <w:lang w:val="fr-FR" w:eastAsia="fr-FR"/>
        </w:rPr>
      </w:pPr>
      <w:r w:rsidRPr="00D41406">
        <w:rPr>
          <w:snapToGrid w:val="0"/>
          <w:kern w:val="22"/>
          <w:szCs w:val="22"/>
          <w:lang w:val="fr-FR" w:eastAsia="fr-FR"/>
        </w:rPr>
        <w:t>b)</w:t>
      </w:r>
      <w:r w:rsidRPr="00D41406">
        <w:rPr>
          <w:snapToGrid w:val="0"/>
          <w:kern w:val="22"/>
          <w:szCs w:val="22"/>
          <w:lang w:val="fr-FR" w:eastAsia="fr-FR"/>
        </w:rPr>
        <w:tab/>
        <w:t>Aider les P</w:t>
      </w:r>
      <w:r w:rsidR="00840264">
        <w:rPr>
          <w:snapToGrid w:val="0"/>
          <w:kern w:val="22"/>
          <w:szCs w:val="22"/>
          <w:lang w:val="fr-FR" w:eastAsia="fr-FR"/>
        </w:rPr>
        <w:t xml:space="preserve">arties admissibles </w:t>
      </w:r>
      <w:r w:rsidRPr="00D41406">
        <w:rPr>
          <w:snapToGrid w:val="0"/>
          <w:kern w:val="22"/>
          <w:szCs w:val="22"/>
          <w:lang w:val="fr-FR" w:eastAsia="fr-FR"/>
        </w:rPr>
        <w:t>à respecter leurs engagements d’établis</w:t>
      </w:r>
      <w:r w:rsidR="00840264">
        <w:rPr>
          <w:snapToGrid w:val="0"/>
          <w:kern w:val="22"/>
          <w:szCs w:val="22"/>
          <w:lang w:val="fr-FR" w:eastAsia="fr-FR"/>
        </w:rPr>
        <w:t>sement de rapports au titre du Protocole, y compris l’élaboration et présentation</w:t>
      </w:r>
      <w:r w:rsidRPr="00D41406">
        <w:rPr>
          <w:snapToGrid w:val="0"/>
          <w:kern w:val="22"/>
          <w:szCs w:val="22"/>
          <w:lang w:val="fr-FR" w:eastAsia="fr-FR"/>
        </w:rPr>
        <w:t xml:space="preserve"> de leurs quatrièmes rapports nationaux au titre du Protocole ;</w:t>
      </w:r>
    </w:p>
    <w:p w14:paraId="38765591" w14:textId="2EC9514F" w:rsidR="00D41406" w:rsidRPr="00D41406" w:rsidRDefault="00D41406" w:rsidP="00D41406">
      <w:pPr>
        <w:suppressLineNumbers/>
        <w:suppressAutoHyphens/>
        <w:kinsoku w:val="0"/>
        <w:overflowPunct w:val="0"/>
        <w:autoSpaceDE w:val="0"/>
        <w:autoSpaceDN w:val="0"/>
        <w:adjustRightInd w:val="0"/>
        <w:snapToGrid w:val="0"/>
        <w:spacing w:before="120" w:after="120"/>
        <w:ind w:firstLine="709"/>
        <w:rPr>
          <w:kern w:val="22"/>
          <w:szCs w:val="22"/>
          <w:lang w:val="fr-FR" w:eastAsia="fr-FR"/>
        </w:rPr>
      </w:pPr>
      <w:r w:rsidRPr="00D41406">
        <w:rPr>
          <w:kern w:val="22"/>
          <w:szCs w:val="22"/>
          <w:lang w:val="fr-FR" w:eastAsia="fr-FR"/>
        </w:rPr>
        <w:t>c)</w:t>
      </w:r>
      <w:r w:rsidRPr="00D41406">
        <w:rPr>
          <w:kern w:val="22"/>
          <w:szCs w:val="22"/>
          <w:lang w:val="fr-FR" w:eastAsia="fr-FR"/>
        </w:rPr>
        <w:tab/>
        <w:t>Aider les Parties à mettre en œuvre des plans d’action sur le respect des obligations et la réalisati</w:t>
      </w:r>
      <w:r w:rsidR="00840264">
        <w:rPr>
          <w:kern w:val="22"/>
          <w:szCs w:val="22"/>
          <w:lang w:val="fr-FR" w:eastAsia="fr-FR"/>
        </w:rPr>
        <w:t>on du respect des obligations en vertu du</w:t>
      </w:r>
      <w:r w:rsidRPr="00D41406">
        <w:rPr>
          <w:kern w:val="22"/>
          <w:szCs w:val="22"/>
          <w:lang w:val="fr-FR" w:eastAsia="fr-FR"/>
        </w:rPr>
        <w:t xml:space="preserve"> Protocole ;</w:t>
      </w:r>
    </w:p>
    <w:p w14:paraId="2EBD803B" w14:textId="5C0A679A" w:rsidR="00D41406" w:rsidRPr="00D41406" w:rsidRDefault="00D41406" w:rsidP="00D41406">
      <w:pPr>
        <w:suppressLineNumbers/>
        <w:suppressAutoHyphens/>
        <w:kinsoku w:val="0"/>
        <w:overflowPunct w:val="0"/>
        <w:autoSpaceDE w:val="0"/>
        <w:autoSpaceDN w:val="0"/>
        <w:adjustRightInd w:val="0"/>
        <w:snapToGrid w:val="0"/>
        <w:spacing w:before="120" w:after="120"/>
        <w:ind w:firstLine="709"/>
        <w:rPr>
          <w:kern w:val="22"/>
          <w:szCs w:val="22"/>
          <w:lang w:val="fr-FR" w:eastAsia="fr-FR"/>
        </w:rPr>
      </w:pPr>
      <w:r w:rsidRPr="00D41406">
        <w:rPr>
          <w:kern w:val="22"/>
          <w:szCs w:val="22"/>
          <w:lang w:val="fr-FR" w:eastAsia="fr-FR"/>
        </w:rPr>
        <w:t>9.</w:t>
      </w:r>
      <w:r w:rsidRPr="00D41406">
        <w:rPr>
          <w:kern w:val="22"/>
          <w:szCs w:val="22"/>
          <w:lang w:val="fr-FR" w:eastAsia="fr-FR"/>
        </w:rPr>
        <w:tab/>
      </w:r>
      <w:r w:rsidRPr="00D41406">
        <w:rPr>
          <w:i/>
          <w:kern w:val="22"/>
          <w:szCs w:val="22"/>
          <w:lang w:val="fr-FR" w:eastAsia="fr-FR"/>
        </w:rPr>
        <w:t>Invite</w:t>
      </w:r>
      <w:r w:rsidRPr="00D41406">
        <w:rPr>
          <w:kern w:val="22"/>
          <w:szCs w:val="22"/>
          <w:lang w:val="fr-FR" w:eastAsia="fr-FR"/>
        </w:rPr>
        <w:t xml:space="preserve"> le Fonds pour l’environnement mondial et d'autres organismes de financement pertinents à libérer des fonds pour des projets régionaux en appui à la mise en œuvre du Protocole de Cartagena, y compris d</w:t>
      </w:r>
      <w:r w:rsidR="00840264">
        <w:rPr>
          <w:kern w:val="22"/>
          <w:szCs w:val="22"/>
          <w:lang w:val="fr-FR" w:eastAsia="fr-FR"/>
        </w:rPr>
        <w:t xml:space="preserve">es projets destinés à renforcer des capacités scientifiques qui appuieraient les mesures prises par les pays pour détecter et identifier </w:t>
      </w:r>
      <w:r w:rsidRPr="00D41406">
        <w:rPr>
          <w:kern w:val="22"/>
          <w:szCs w:val="22"/>
          <w:lang w:val="fr-FR" w:eastAsia="fr-FR"/>
        </w:rPr>
        <w:t>des organismes vivants modifiés, et en particulier qui pourraient promouvoir le partage</w:t>
      </w:r>
      <w:r w:rsidR="00840264">
        <w:rPr>
          <w:kern w:val="22"/>
          <w:szCs w:val="22"/>
          <w:lang w:val="fr-FR" w:eastAsia="fr-FR"/>
        </w:rPr>
        <w:t xml:space="preserve"> d’expériences et des enseignements tirés Nord-Sud et Sud-Sud ;</w:t>
      </w:r>
    </w:p>
    <w:p w14:paraId="36ED2822" w14:textId="18BE1313" w:rsidR="00D41406" w:rsidRPr="00D41406" w:rsidRDefault="00D41406" w:rsidP="00D41406">
      <w:pPr>
        <w:suppressLineNumbers/>
        <w:suppressAutoHyphens/>
        <w:kinsoku w:val="0"/>
        <w:overflowPunct w:val="0"/>
        <w:autoSpaceDE w:val="0"/>
        <w:autoSpaceDN w:val="0"/>
        <w:adjustRightInd w:val="0"/>
        <w:snapToGrid w:val="0"/>
        <w:spacing w:before="120" w:after="120"/>
        <w:ind w:firstLine="709"/>
        <w:rPr>
          <w:kern w:val="22"/>
          <w:szCs w:val="22"/>
          <w:lang w:val="fr-FR" w:eastAsia="fr-FR"/>
        </w:rPr>
      </w:pPr>
      <w:r w:rsidRPr="00D41406">
        <w:rPr>
          <w:kern w:val="22"/>
          <w:szCs w:val="22"/>
          <w:lang w:val="fr-FR" w:eastAsia="fr-FR"/>
        </w:rPr>
        <w:t>10.</w:t>
      </w:r>
      <w:r w:rsidRPr="00D41406">
        <w:rPr>
          <w:kern w:val="22"/>
          <w:szCs w:val="22"/>
          <w:lang w:val="fr-FR" w:eastAsia="fr-FR"/>
        </w:rPr>
        <w:tab/>
      </w:r>
      <w:r w:rsidRPr="00D41406">
        <w:rPr>
          <w:i/>
          <w:kern w:val="22"/>
          <w:szCs w:val="22"/>
          <w:lang w:val="fr-FR" w:eastAsia="fr-FR"/>
        </w:rPr>
        <w:t>Exprime sa satisfaction</w:t>
      </w:r>
      <w:r w:rsidRPr="00D41406">
        <w:rPr>
          <w:kern w:val="22"/>
          <w:szCs w:val="22"/>
          <w:lang w:val="fr-FR" w:eastAsia="fr-FR"/>
        </w:rPr>
        <w:t xml:space="preserve"> concernant le soutien financier accordé par le Fonds pour l’environnement mondial à plusieurs Parties admissibles afin d’appuyer la préparation de leurs rapports nationaux provisoires sur la mise en œuvre</w:t>
      </w:r>
      <w:r w:rsidR="00434AB8">
        <w:rPr>
          <w:kern w:val="22"/>
          <w:szCs w:val="22"/>
          <w:lang w:val="fr-FR" w:eastAsia="fr-FR"/>
        </w:rPr>
        <w:t xml:space="preserve"> de leurs obligations en vertu</w:t>
      </w:r>
      <w:r w:rsidRPr="00D41406">
        <w:rPr>
          <w:kern w:val="22"/>
          <w:szCs w:val="22"/>
          <w:lang w:val="fr-FR" w:eastAsia="fr-FR"/>
        </w:rPr>
        <w:t xml:space="preserve"> du Protocole de Nagoya, et prend note de l’importance de rendre le soutien financier disponible à</w:t>
      </w:r>
      <w:r w:rsidR="00434AB8">
        <w:rPr>
          <w:kern w:val="22"/>
          <w:szCs w:val="22"/>
          <w:lang w:val="fr-FR" w:eastAsia="fr-FR"/>
        </w:rPr>
        <w:t xml:space="preserve"> point nommé afin de soutenir l’établissement et la présentation </w:t>
      </w:r>
      <w:r w:rsidRPr="00D41406">
        <w:rPr>
          <w:kern w:val="22"/>
          <w:szCs w:val="22"/>
          <w:lang w:val="fr-FR" w:eastAsia="fr-FR"/>
        </w:rPr>
        <w:t>des rapports nationaux avant la date limite ;</w:t>
      </w:r>
    </w:p>
    <w:p w14:paraId="43296BE1" w14:textId="2164EA9A" w:rsidR="00D41406" w:rsidRPr="00D41406" w:rsidRDefault="00D41406" w:rsidP="00D41406">
      <w:pPr>
        <w:suppressLineNumbers/>
        <w:suppressAutoHyphens/>
        <w:kinsoku w:val="0"/>
        <w:overflowPunct w:val="0"/>
        <w:autoSpaceDE w:val="0"/>
        <w:autoSpaceDN w:val="0"/>
        <w:adjustRightInd w:val="0"/>
        <w:snapToGrid w:val="0"/>
        <w:spacing w:before="120" w:after="120"/>
        <w:ind w:firstLine="709"/>
        <w:rPr>
          <w:kern w:val="22"/>
          <w:szCs w:val="22"/>
          <w:lang w:val="fr-FR" w:eastAsia="fr-FR"/>
        </w:rPr>
      </w:pPr>
      <w:r w:rsidRPr="00D41406">
        <w:rPr>
          <w:kern w:val="22"/>
          <w:szCs w:val="22"/>
          <w:lang w:val="fr-FR" w:eastAsia="fr-FR"/>
        </w:rPr>
        <w:lastRenderedPageBreak/>
        <w:t>11.</w:t>
      </w:r>
      <w:r w:rsidRPr="00D41406">
        <w:rPr>
          <w:kern w:val="22"/>
          <w:szCs w:val="22"/>
          <w:lang w:val="fr-FR" w:eastAsia="fr-FR"/>
        </w:rPr>
        <w:tab/>
      </w:r>
      <w:r w:rsidRPr="00D41406">
        <w:rPr>
          <w:i/>
          <w:kern w:val="22"/>
          <w:szCs w:val="22"/>
          <w:lang w:val="fr-FR" w:eastAsia="fr-FR"/>
        </w:rPr>
        <w:t>Invite</w:t>
      </w:r>
      <w:r w:rsidRPr="00D41406">
        <w:rPr>
          <w:kern w:val="22"/>
          <w:szCs w:val="22"/>
          <w:lang w:val="fr-FR" w:eastAsia="fr-FR"/>
        </w:rPr>
        <w:t xml:space="preserve"> le Fonds pour l'environnement mondial à continuer de soutenir les Parties</w:t>
      </w:r>
      <w:r w:rsidR="00434AB8">
        <w:rPr>
          <w:kern w:val="22"/>
          <w:szCs w:val="22"/>
          <w:lang w:val="fr-FR" w:eastAsia="fr-FR"/>
        </w:rPr>
        <w:t xml:space="preserve"> admissibles dans leur </w:t>
      </w:r>
      <w:r w:rsidRPr="00D41406">
        <w:rPr>
          <w:kern w:val="22"/>
          <w:szCs w:val="22"/>
          <w:lang w:val="fr-FR" w:eastAsia="fr-FR"/>
        </w:rPr>
        <w:t>application du Protocole de Nagoya, y compris l’adoption des mesures législatives, administratives et de politique générale sur l'accès et le partage des avantages et de modalités institutionnelles connexes, et à dégager des fonds à cet effet ;</w:t>
      </w:r>
    </w:p>
    <w:p w14:paraId="271C742D" w14:textId="682D748E" w:rsidR="00D41406" w:rsidRPr="00D41406" w:rsidRDefault="00D41406" w:rsidP="00D41406">
      <w:pPr>
        <w:kinsoku w:val="0"/>
        <w:overflowPunct w:val="0"/>
        <w:autoSpaceDE w:val="0"/>
        <w:autoSpaceDN w:val="0"/>
        <w:spacing w:before="120" w:after="120"/>
        <w:ind w:firstLine="720"/>
        <w:rPr>
          <w:snapToGrid w:val="0"/>
          <w:kern w:val="22"/>
          <w:szCs w:val="22"/>
          <w:lang w:val="fr-FR" w:eastAsia="fr-FR"/>
        </w:rPr>
      </w:pPr>
      <w:r w:rsidRPr="00D41406">
        <w:rPr>
          <w:snapToGrid w:val="0"/>
          <w:kern w:val="22"/>
          <w:szCs w:val="22"/>
          <w:lang w:val="fr-FR" w:eastAsia="fr-FR"/>
        </w:rPr>
        <w:t>12.</w:t>
      </w:r>
      <w:r w:rsidRPr="00D41406">
        <w:rPr>
          <w:snapToGrid w:val="0"/>
          <w:kern w:val="22"/>
          <w:szCs w:val="22"/>
          <w:lang w:val="fr-FR" w:eastAsia="fr-FR"/>
        </w:rPr>
        <w:tab/>
      </w:r>
      <w:r w:rsidRPr="00D41406">
        <w:rPr>
          <w:i/>
          <w:snapToGrid w:val="0"/>
          <w:kern w:val="22"/>
          <w:szCs w:val="22"/>
          <w:lang w:val="fr-FR" w:eastAsia="fr-FR"/>
        </w:rPr>
        <w:t>Considère</w:t>
      </w:r>
      <w:r w:rsidRPr="00D41406">
        <w:rPr>
          <w:snapToGrid w:val="0"/>
          <w:kern w:val="22"/>
          <w:szCs w:val="22"/>
          <w:lang w:val="fr-FR" w:eastAsia="fr-FR"/>
        </w:rPr>
        <w:t xml:space="preserve"> que le sixième bilan global du Fon</w:t>
      </w:r>
      <w:r w:rsidR="00434AB8">
        <w:rPr>
          <w:snapToGrid w:val="0"/>
          <w:kern w:val="22"/>
          <w:szCs w:val="22"/>
          <w:lang w:val="fr-FR" w:eastAsia="fr-FR"/>
        </w:rPr>
        <w:t>ds pour l’environnement mondial</w:t>
      </w:r>
      <w:r w:rsidRPr="00D41406">
        <w:rPr>
          <w:snapToGrid w:val="0"/>
          <w:kern w:val="22"/>
          <w:szCs w:val="22"/>
          <w:lang w:val="fr-FR" w:eastAsia="fr-FR"/>
        </w:rPr>
        <w:t xml:space="preserve"> réalisé par le Bureau indépendant d’évaluation du F</w:t>
      </w:r>
      <w:r w:rsidR="00434AB8">
        <w:rPr>
          <w:snapToGrid w:val="0"/>
          <w:kern w:val="22"/>
          <w:szCs w:val="22"/>
          <w:lang w:val="fr-FR" w:eastAsia="fr-FR"/>
        </w:rPr>
        <w:t>onds et achevé en décembre 2017</w:t>
      </w:r>
      <w:r w:rsidRPr="00D41406">
        <w:rPr>
          <w:snapToGrid w:val="0"/>
          <w:kern w:val="22"/>
          <w:szCs w:val="22"/>
          <w:lang w:val="fr-FR" w:eastAsia="fr-FR"/>
        </w:rPr>
        <w:t xml:space="preserve"> constitue une bonne base pour le cinquième examen de l’efficacité du mécanisme de fin</w:t>
      </w:r>
      <w:r w:rsidR="00434AB8">
        <w:rPr>
          <w:snapToGrid w:val="0"/>
          <w:kern w:val="22"/>
          <w:szCs w:val="22"/>
          <w:lang w:val="fr-FR" w:eastAsia="fr-FR"/>
        </w:rPr>
        <w:t>ancement, tout comme les communications y afférentes</w:t>
      </w:r>
      <w:r w:rsidRPr="00D41406">
        <w:rPr>
          <w:snapToGrid w:val="0"/>
          <w:kern w:val="22"/>
          <w:szCs w:val="22"/>
          <w:lang w:val="fr-FR" w:eastAsia="fr-FR"/>
        </w:rPr>
        <w:t xml:space="preserve"> reçu</w:t>
      </w:r>
      <w:r w:rsidR="00434AB8">
        <w:rPr>
          <w:snapToGrid w:val="0"/>
          <w:kern w:val="22"/>
          <w:szCs w:val="22"/>
          <w:lang w:val="fr-FR" w:eastAsia="fr-FR"/>
        </w:rPr>
        <w:t>e</w:t>
      </w:r>
      <w:r w:rsidRPr="00D41406">
        <w:rPr>
          <w:snapToGrid w:val="0"/>
          <w:kern w:val="22"/>
          <w:szCs w:val="22"/>
          <w:lang w:val="fr-FR" w:eastAsia="fr-FR"/>
        </w:rPr>
        <w:t xml:space="preserve">s des Parties, et </w:t>
      </w:r>
      <w:r w:rsidRPr="00D41406">
        <w:rPr>
          <w:i/>
          <w:snapToGrid w:val="0"/>
          <w:kern w:val="22"/>
          <w:szCs w:val="22"/>
          <w:lang w:val="fr-FR" w:eastAsia="fr-FR"/>
        </w:rPr>
        <w:t>invite</w:t>
      </w:r>
      <w:r w:rsidRPr="00D41406">
        <w:rPr>
          <w:snapToGrid w:val="0"/>
          <w:kern w:val="22"/>
          <w:szCs w:val="22"/>
          <w:lang w:val="fr-FR" w:eastAsia="fr-FR"/>
        </w:rPr>
        <w:t xml:space="preserve"> le Conseil du Fonds pour l’environnement mondial à prendre les mesures suivantes afin d’améliorer davantage l’efficacité du mécanisme de financement :</w:t>
      </w:r>
    </w:p>
    <w:p w14:paraId="09A1A93C" w14:textId="001A6EB8" w:rsidR="00D41406" w:rsidRPr="00D41406" w:rsidRDefault="00D41406" w:rsidP="00D41406">
      <w:pPr>
        <w:tabs>
          <w:tab w:val="left" w:pos="1259"/>
        </w:tabs>
        <w:kinsoku w:val="0"/>
        <w:overflowPunct w:val="0"/>
        <w:autoSpaceDE w:val="0"/>
        <w:autoSpaceDN w:val="0"/>
        <w:spacing w:before="120" w:after="120"/>
        <w:ind w:firstLine="720"/>
        <w:rPr>
          <w:snapToGrid w:val="0"/>
          <w:kern w:val="22"/>
          <w:szCs w:val="22"/>
          <w:lang w:val="fr-FR" w:eastAsia="fr-FR"/>
        </w:rPr>
      </w:pPr>
      <w:r w:rsidRPr="00D41406">
        <w:rPr>
          <w:snapToGrid w:val="0"/>
          <w:kern w:val="22"/>
          <w:szCs w:val="22"/>
          <w:lang w:val="fr-FR" w:eastAsia="fr-FR"/>
        </w:rPr>
        <w:t>a)</w:t>
      </w:r>
      <w:r w:rsidRPr="00D41406">
        <w:rPr>
          <w:snapToGrid w:val="0"/>
          <w:kern w:val="22"/>
          <w:szCs w:val="22"/>
          <w:lang w:val="fr-FR" w:eastAsia="fr-FR"/>
        </w:rPr>
        <w:tab/>
        <w:t xml:space="preserve">Continuer à améliorer la conception, la gestion et l’efficacité des </w:t>
      </w:r>
      <w:r w:rsidR="00684744">
        <w:rPr>
          <w:snapToGrid w:val="0"/>
          <w:kern w:val="22"/>
          <w:szCs w:val="22"/>
          <w:lang w:val="fr-FR" w:eastAsia="fr-FR"/>
        </w:rPr>
        <w:t xml:space="preserve">programmes intégrés pilotes </w:t>
      </w:r>
      <w:r w:rsidRPr="00D41406">
        <w:rPr>
          <w:snapToGrid w:val="0"/>
          <w:kern w:val="22"/>
          <w:szCs w:val="22"/>
          <w:lang w:val="fr-FR" w:eastAsia="fr-FR"/>
        </w:rPr>
        <w:t>de la sixième r</w:t>
      </w:r>
      <w:r w:rsidR="00EC4F71">
        <w:rPr>
          <w:snapToGrid w:val="0"/>
          <w:kern w:val="22"/>
          <w:szCs w:val="22"/>
          <w:lang w:val="fr-FR" w:eastAsia="fr-FR"/>
        </w:rPr>
        <w:t xml:space="preserve">econstitution, des programmes à </w:t>
      </w:r>
      <w:r w:rsidRPr="00D41406">
        <w:rPr>
          <w:snapToGrid w:val="0"/>
          <w:kern w:val="22"/>
          <w:szCs w:val="22"/>
          <w:lang w:val="fr-FR" w:eastAsia="fr-FR"/>
        </w:rPr>
        <w:t>impact de la septième reconstitution, des autres démarches programmatiques et projets plurisectoriels afin de lutter contre les moteurs de la dégradation de l’environnement ;</w:t>
      </w:r>
    </w:p>
    <w:p w14:paraId="19E60FD5" w14:textId="77777777" w:rsidR="00D41406" w:rsidRPr="00D41406" w:rsidRDefault="00D41406" w:rsidP="00D41406">
      <w:pPr>
        <w:tabs>
          <w:tab w:val="left" w:pos="1259"/>
        </w:tabs>
        <w:kinsoku w:val="0"/>
        <w:overflowPunct w:val="0"/>
        <w:autoSpaceDE w:val="0"/>
        <w:autoSpaceDN w:val="0"/>
        <w:spacing w:before="120" w:after="120"/>
        <w:ind w:firstLine="720"/>
        <w:rPr>
          <w:snapToGrid w:val="0"/>
          <w:kern w:val="22"/>
          <w:szCs w:val="22"/>
          <w:lang w:val="fr-FR" w:eastAsia="fr-FR"/>
        </w:rPr>
      </w:pPr>
      <w:r w:rsidRPr="00D41406">
        <w:rPr>
          <w:snapToGrid w:val="0"/>
          <w:kern w:val="22"/>
          <w:szCs w:val="22"/>
          <w:lang w:val="fr-FR" w:eastAsia="fr-FR"/>
        </w:rPr>
        <w:t>b)</w:t>
      </w:r>
      <w:r w:rsidRPr="00D41406">
        <w:rPr>
          <w:snapToGrid w:val="0"/>
          <w:kern w:val="22"/>
          <w:szCs w:val="22"/>
          <w:lang w:val="fr-FR" w:eastAsia="fr-FR"/>
        </w:rPr>
        <w:tab/>
        <w:t>Promouvoir la sensibilisation aux processus existants relevant du Commissaire au règlement des différends comme moyen de régler les plaintes liées au fonctionnement du mécanisme de financement ;</w:t>
      </w:r>
    </w:p>
    <w:p w14:paraId="29FA183A" w14:textId="77777777" w:rsidR="00D41406" w:rsidRPr="00D41406" w:rsidRDefault="00D41406" w:rsidP="00D41406">
      <w:pPr>
        <w:tabs>
          <w:tab w:val="left" w:pos="1259"/>
        </w:tabs>
        <w:kinsoku w:val="0"/>
        <w:overflowPunct w:val="0"/>
        <w:autoSpaceDE w:val="0"/>
        <w:autoSpaceDN w:val="0"/>
        <w:spacing w:before="120" w:after="120"/>
        <w:ind w:firstLine="720"/>
        <w:rPr>
          <w:snapToGrid w:val="0"/>
          <w:kern w:val="22"/>
          <w:szCs w:val="22"/>
          <w:lang w:val="fr-FR" w:eastAsia="fr-FR"/>
        </w:rPr>
      </w:pPr>
      <w:r w:rsidRPr="00D41406">
        <w:rPr>
          <w:snapToGrid w:val="0"/>
          <w:kern w:val="22"/>
          <w:szCs w:val="22"/>
          <w:lang w:val="fr-FR" w:eastAsia="fr-FR"/>
        </w:rPr>
        <w:t>c)</w:t>
      </w:r>
      <w:r w:rsidRPr="00D41406">
        <w:rPr>
          <w:snapToGrid w:val="0"/>
          <w:kern w:val="22"/>
          <w:szCs w:val="22"/>
          <w:lang w:val="fr-FR" w:eastAsia="fr-FR"/>
        </w:rPr>
        <w:tab/>
        <w:t>Améliorer davantage la durabilité des projets et programmes financés, dont le financement durable des aires protégées ;</w:t>
      </w:r>
    </w:p>
    <w:p w14:paraId="7A80253C" w14:textId="77777777" w:rsidR="00D41406" w:rsidRPr="00D41406" w:rsidRDefault="00D41406" w:rsidP="00D41406">
      <w:pPr>
        <w:tabs>
          <w:tab w:val="left" w:pos="1259"/>
        </w:tabs>
        <w:kinsoku w:val="0"/>
        <w:overflowPunct w:val="0"/>
        <w:autoSpaceDE w:val="0"/>
        <w:autoSpaceDN w:val="0"/>
        <w:spacing w:before="120" w:after="120"/>
        <w:ind w:firstLine="720"/>
        <w:rPr>
          <w:snapToGrid w:val="0"/>
          <w:kern w:val="22"/>
          <w:szCs w:val="22"/>
          <w:lang w:val="fr-FR" w:eastAsia="fr-FR"/>
        </w:rPr>
      </w:pPr>
      <w:r w:rsidRPr="00D41406">
        <w:rPr>
          <w:snapToGrid w:val="0"/>
          <w:kern w:val="22"/>
          <w:szCs w:val="22"/>
          <w:lang w:val="fr-FR" w:eastAsia="fr-FR"/>
        </w:rPr>
        <w:t>d)</w:t>
      </w:r>
      <w:r w:rsidRPr="00D41406">
        <w:rPr>
          <w:snapToGrid w:val="0"/>
          <w:kern w:val="22"/>
          <w:szCs w:val="22"/>
          <w:lang w:val="fr-FR" w:eastAsia="fr-FR"/>
        </w:rPr>
        <w:tab/>
        <w:t>Continuer à améliorer l’efficacité et la responsabilité du partenariat avec le Fonds pour l’environnement mondial ;</w:t>
      </w:r>
    </w:p>
    <w:p w14:paraId="21216988" w14:textId="31408B9F" w:rsidR="00D41406" w:rsidRPr="00D41406" w:rsidRDefault="00D41406" w:rsidP="00D41406">
      <w:pPr>
        <w:tabs>
          <w:tab w:val="left" w:pos="1259"/>
        </w:tabs>
        <w:kinsoku w:val="0"/>
        <w:overflowPunct w:val="0"/>
        <w:autoSpaceDE w:val="0"/>
        <w:autoSpaceDN w:val="0"/>
        <w:spacing w:before="120" w:after="120"/>
        <w:ind w:firstLine="720"/>
        <w:rPr>
          <w:snapToGrid w:val="0"/>
          <w:kern w:val="22"/>
          <w:szCs w:val="22"/>
          <w:lang w:val="fr-FR" w:eastAsia="fr-FR"/>
        </w:rPr>
      </w:pPr>
      <w:r w:rsidRPr="00D41406">
        <w:rPr>
          <w:snapToGrid w:val="0"/>
          <w:kern w:val="22"/>
          <w:szCs w:val="22"/>
          <w:lang w:val="fr-FR" w:eastAsia="fr-FR"/>
        </w:rPr>
        <w:t>e)</w:t>
      </w:r>
      <w:r w:rsidRPr="00D41406">
        <w:rPr>
          <w:snapToGrid w:val="0"/>
          <w:kern w:val="22"/>
          <w:szCs w:val="22"/>
          <w:lang w:val="fr-FR" w:eastAsia="fr-FR"/>
        </w:rPr>
        <w:tab/>
        <w:t>Inclur</w:t>
      </w:r>
      <w:r w:rsidR="00FB3156">
        <w:rPr>
          <w:snapToGrid w:val="0"/>
          <w:kern w:val="22"/>
          <w:szCs w:val="22"/>
          <w:lang w:val="fr-FR" w:eastAsia="fr-FR"/>
        </w:rPr>
        <w:t>e l’information suivante dans son</w:t>
      </w:r>
      <w:r w:rsidRPr="00D41406">
        <w:rPr>
          <w:snapToGrid w:val="0"/>
          <w:kern w:val="22"/>
          <w:szCs w:val="22"/>
          <w:lang w:val="fr-FR" w:eastAsia="fr-FR"/>
        </w:rPr>
        <w:t xml:space="preserve"> rapport à la </w:t>
      </w:r>
      <w:r w:rsidR="00FB3156">
        <w:rPr>
          <w:snapToGrid w:val="0"/>
          <w:kern w:val="22"/>
          <w:szCs w:val="22"/>
          <w:lang w:val="fr-FR" w:eastAsia="fr-FR"/>
        </w:rPr>
        <w:t xml:space="preserve">quinzième réunion de la </w:t>
      </w:r>
      <w:r w:rsidRPr="00D41406">
        <w:rPr>
          <w:snapToGrid w:val="0"/>
          <w:kern w:val="22"/>
          <w:szCs w:val="22"/>
          <w:lang w:val="fr-FR" w:eastAsia="fr-FR"/>
        </w:rPr>
        <w:t xml:space="preserve">Conférence des </w:t>
      </w:r>
      <w:r w:rsidR="00FB3156">
        <w:rPr>
          <w:snapToGrid w:val="0"/>
          <w:kern w:val="22"/>
          <w:szCs w:val="22"/>
          <w:lang w:val="fr-FR" w:eastAsia="fr-FR"/>
        </w:rPr>
        <w:t>Parties</w:t>
      </w:r>
      <w:r w:rsidRPr="00D41406">
        <w:rPr>
          <w:snapToGrid w:val="0"/>
          <w:kern w:val="22"/>
          <w:szCs w:val="22"/>
          <w:lang w:val="fr-FR" w:eastAsia="fr-FR"/>
        </w:rPr>
        <w:t> :</w:t>
      </w:r>
    </w:p>
    <w:p w14:paraId="19DA4E44" w14:textId="77777777" w:rsidR="00D41406" w:rsidRPr="00D41406" w:rsidRDefault="00D41406" w:rsidP="00D41406">
      <w:pPr>
        <w:tabs>
          <w:tab w:val="left" w:pos="720"/>
        </w:tabs>
        <w:kinsoku w:val="0"/>
        <w:overflowPunct w:val="0"/>
        <w:autoSpaceDE w:val="0"/>
        <w:autoSpaceDN w:val="0"/>
        <w:spacing w:after="120"/>
        <w:ind w:left="1843" w:hanging="567"/>
        <w:rPr>
          <w:snapToGrid w:val="0"/>
          <w:kern w:val="22"/>
          <w:szCs w:val="22"/>
          <w:lang w:val="fr-FR" w:eastAsia="fr-FR"/>
        </w:rPr>
      </w:pPr>
      <w:r w:rsidRPr="00D41406">
        <w:rPr>
          <w:snapToGrid w:val="0"/>
          <w:kern w:val="22"/>
          <w:szCs w:val="22"/>
          <w:lang w:val="fr-FR" w:eastAsia="fr-FR"/>
        </w:rPr>
        <w:t>i)</w:t>
      </w:r>
      <w:r w:rsidRPr="00D41406">
        <w:rPr>
          <w:snapToGrid w:val="0"/>
          <w:kern w:val="22"/>
          <w:szCs w:val="22"/>
          <w:lang w:val="fr-FR" w:eastAsia="fr-FR"/>
        </w:rPr>
        <w:tab/>
        <w:t>Progrès accomplis dans l’application de la nouvelle politique de cofinancement ;</w:t>
      </w:r>
    </w:p>
    <w:p w14:paraId="66F94198" w14:textId="77777777" w:rsidR="00D41406" w:rsidRPr="00D41406" w:rsidRDefault="00D41406" w:rsidP="00D41406">
      <w:pPr>
        <w:tabs>
          <w:tab w:val="right" w:pos="720"/>
        </w:tabs>
        <w:kinsoku w:val="0"/>
        <w:overflowPunct w:val="0"/>
        <w:autoSpaceDE w:val="0"/>
        <w:autoSpaceDN w:val="0"/>
        <w:spacing w:after="120"/>
        <w:ind w:left="1843" w:hanging="567"/>
        <w:rPr>
          <w:snapToGrid w:val="0"/>
          <w:kern w:val="22"/>
          <w:szCs w:val="22"/>
          <w:lang w:val="fr-FR" w:eastAsia="fr-FR"/>
        </w:rPr>
      </w:pPr>
      <w:r w:rsidRPr="00D41406">
        <w:rPr>
          <w:snapToGrid w:val="0"/>
          <w:kern w:val="22"/>
          <w:szCs w:val="22"/>
          <w:lang w:val="fr-FR" w:eastAsia="fr-FR"/>
        </w:rPr>
        <w:t>ii)</w:t>
      </w:r>
      <w:r w:rsidRPr="00D41406">
        <w:rPr>
          <w:snapToGrid w:val="0"/>
          <w:kern w:val="22"/>
          <w:szCs w:val="22"/>
          <w:lang w:val="fr-FR" w:eastAsia="fr-FR"/>
        </w:rPr>
        <w:tab/>
        <w:t>Efficacité du réseau d’agences du Fonds pour l’environnement mondial ;</w:t>
      </w:r>
    </w:p>
    <w:p w14:paraId="03565B95" w14:textId="77777777" w:rsidR="00D41406" w:rsidRPr="00D41406" w:rsidRDefault="00D41406" w:rsidP="00D41406">
      <w:pPr>
        <w:kinsoku w:val="0"/>
        <w:overflowPunct w:val="0"/>
        <w:autoSpaceDE w:val="0"/>
        <w:autoSpaceDN w:val="0"/>
        <w:spacing w:before="120" w:after="120"/>
        <w:ind w:firstLine="720"/>
        <w:rPr>
          <w:snapToGrid w:val="0"/>
          <w:kern w:val="22"/>
          <w:szCs w:val="22"/>
          <w:lang w:val="fr-FR" w:eastAsia="fr-FR"/>
        </w:rPr>
      </w:pPr>
      <w:r w:rsidRPr="00D41406">
        <w:rPr>
          <w:snapToGrid w:val="0"/>
          <w:kern w:val="22"/>
          <w:szCs w:val="22"/>
          <w:lang w:val="fr-FR" w:eastAsia="fr-FR"/>
        </w:rPr>
        <w:t>13.</w:t>
      </w:r>
      <w:r w:rsidRPr="00D41406">
        <w:rPr>
          <w:snapToGrid w:val="0"/>
          <w:kern w:val="22"/>
          <w:szCs w:val="22"/>
          <w:lang w:val="fr-FR" w:eastAsia="fr-FR"/>
        </w:rPr>
        <w:tab/>
      </w:r>
      <w:r w:rsidRPr="00D41406">
        <w:rPr>
          <w:i/>
          <w:snapToGrid w:val="0"/>
          <w:kern w:val="22"/>
          <w:szCs w:val="22"/>
          <w:lang w:val="fr-FR" w:eastAsia="fr-FR"/>
        </w:rPr>
        <w:t xml:space="preserve">Prie </w:t>
      </w:r>
      <w:r w:rsidRPr="00D41406">
        <w:rPr>
          <w:snapToGrid w:val="0"/>
          <w:kern w:val="22"/>
          <w:szCs w:val="22"/>
          <w:lang w:val="fr-FR" w:eastAsia="fr-FR"/>
        </w:rPr>
        <w:t>la Secrétaire exécutive de tenir compte de l’expérience acquise lors des derniers examens de l’efficacité du mécanisme de financement dans la préparation des mandats pour le sixième examen de l’efficacité du mécanisme de financement, pour examen par la Conférence des Parties à sa quinzième réunion ;</w:t>
      </w:r>
    </w:p>
    <w:p w14:paraId="2304242B" w14:textId="73448591" w:rsidR="00D41406" w:rsidRPr="00D41406" w:rsidRDefault="00D41406" w:rsidP="00D41406">
      <w:pPr>
        <w:kinsoku w:val="0"/>
        <w:overflowPunct w:val="0"/>
        <w:autoSpaceDE w:val="0"/>
        <w:autoSpaceDN w:val="0"/>
        <w:spacing w:before="120" w:after="120"/>
        <w:ind w:firstLine="720"/>
        <w:rPr>
          <w:snapToGrid w:val="0"/>
          <w:kern w:val="22"/>
          <w:szCs w:val="22"/>
          <w:lang w:val="fr-FR" w:eastAsia="fr-FR"/>
        </w:rPr>
      </w:pPr>
      <w:r w:rsidRPr="00D41406">
        <w:rPr>
          <w:kern w:val="22"/>
          <w:szCs w:val="22"/>
          <w:lang w:val="fr-FR" w:eastAsia="fr-FR"/>
        </w:rPr>
        <w:t>14</w:t>
      </w:r>
      <w:r w:rsidRPr="00D41406">
        <w:rPr>
          <w:snapToGrid w:val="0"/>
          <w:kern w:val="22"/>
          <w:szCs w:val="22"/>
          <w:lang w:val="fr-FR" w:eastAsia="fr-FR"/>
        </w:rPr>
        <w:t>.</w:t>
      </w:r>
      <w:r w:rsidRPr="00D41406">
        <w:rPr>
          <w:snapToGrid w:val="0"/>
          <w:kern w:val="22"/>
          <w:szCs w:val="22"/>
          <w:lang w:val="fr-FR" w:eastAsia="fr-FR"/>
        </w:rPr>
        <w:tab/>
      </w:r>
      <w:r w:rsidRPr="00D41406">
        <w:rPr>
          <w:i/>
          <w:snapToGrid w:val="0"/>
          <w:kern w:val="22"/>
          <w:szCs w:val="22"/>
          <w:lang w:val="fr-FR" w:eastAsia="fr-FR"/>
        </w:rPr>
        <w:t>Adopte</w:t>
      </w:r>
      <w:r w:rsidRPr="00D41406">
        <w:rPr>
          <w:snapToGrid w:val="0"/>
          <w:kern w:val="22"/>
          <w:szCs w:val="22"/>
          <w:lang w:val="fr-FR" w:eastAsia="fr-FR"/>
        </w:rPr>
        <w:t xml:space="preserve"> le mandat d’une évaluation complète des montants nécessaires à la mise en œu</w:t>
      </w:r>
      <w:r w:rsidR="00427F90">
        <w:rPr>
          <w:snapToGrid w:val="0"/>
          <w:kern w:val="22"/>
          <w:szCs w:val="22"/>
          <w:lang w:val="fr-FR" w:eastAsia="fr-FR"/>
        </w:rPr>
        <w:t>vre de la Convention et de ses p</w:t>
      </w:r>
      <w:r w:rsidRPr="00D41406">
        <w:rPr>
          <w:snapToGrid w:val="0"/>
          <w:kern w:val="22"/>
          <w:szCs w:val="22"/>
          <w:lang w:val="fr-FR" w:eastAsia="fr-FR"/>
        </w:rPr>
        <w:t>rotocoles pendant la huitième période de reconstitution du fonds d’affectation spéciale du Fonds pour l’environnement mondial, joint</w:t>
      </w:r>
      <w:r w:rsidR="00427F90">
        <w:rPr>
          <w:snapToGrid w:val="0"/>
          <w:kern w:val="22"/>
          <w:szCs w:val="22"/>
          <w:lang w:val="fr-FR" w:eastAsia="fr-FR"/>
        </w:rPr>
        <w:t xml:space="preserve"> en annexe à la</w:t>
      </w:r>
      <w:r w:rsidR="0011664D">
        <w:rPr>
          <w:snapToGrid w:val="0"/>
          <w:kern w:val="22"/>
          <w:szCs w:val="22"/>
          <w:lang w:val="fr-FR" w:eastAsia="fr-FR"/>
        </w:rPr>
        <w:t xml:space="preserve"> présent</w:t>
      </w:r>
      <w:r w:rsidR="00427F90">
        <w:rPr>
          <w:snapToGrid w:val="0"/>
          <w:kern w:val="22"/>
          <w:szCs w:val="22"/>
          <w:lang w:val="fr-FR" w:eastAsia="fr-FR"/>
        </w:rPr>
        <w:t xml:space="preserve">e </w:t>
      </w:r>
      <w:bookmarkStart w:id="0" w:name="_GoBack"/>
      <w:bookmarkEnd w:id="0"/>
      <w:r w:rsidR="0011664D">
        <w:rPr>
          <w:snapToGrid w:val="0"/>
          <w:kern w:val="22"/>
          <w:szCs w:val="22"/>
          <w:lang w:val="fr-FR" w:eastAsia="fr-FR"/>
        </w:rPr>
        <w:t>décision</w:t>
      </w:r>
      <w:r w:rsidRPr="00D41406">
        <w:rPr>
          <w:snapToGrid w:val="0"/>
          <w:kern w:val="22"/>
          <w:szCs w:val="22"/>
          <w:lang w:val="fr-FR" w:eastAsia="fr-FR"/>
        </w:rPr>
        <w:t> </w:t>
      </w:r>
      <w:r w:rsidRPr="0011664D">
        <w:rPr>
          <w:snapToGrid w:val="0"/>
          <w:kern w:val="22"/>
          <w:szCs w:val="22"/>
          <w:lang w:val="fr-FR" w:eastAsia="fr-FR"/>
        </w:rPr>
        <w:t>;</w:t>
      </w:r>
    </w:p>
    <w:p w14:paraId="70EC5292" w14:textId="2B50DA14" w:rsidR="00D41406" w:rsidRPr="00D41406" w:rsidRDefault="00D41406" w:rsidP="00D41406">
      <w:pPr>
        <w:kinsoku w:val="0"/>
        <w:overflowPunct w:val="0"/>
        <w:autoSpaceDE w:val="0"/>
        <w:autoSpaceDN w:val="0"/>
        <w:spacing w:before="120" w:after="120"/>
        <w:ind w:firstLine="720"/>
        <w:rPr>
          <w:snapToGrid w:val="0"/>
          <w:kern w:val="22"/>
          <w:szCs w:val="22"/>
          <w:lang w:val="fr-FR" w:eastAsia="fr-FR"/>
        </w:rPr>
      </w:pPr>
      <w:r w:rsidRPr="00D41406">
        <w:rPr>
          <w:snapToGrid w:val="0"/>
          <w:kern w:val="22"/>
          <w:szCs w:val="22"/>
          <w:lang w:val="fr-FR" w:eastAsia="fr-FR"/>
        </w:rPr>
        <w:t>15.</w:t>
      </w:r>
      <w:r w:rsidRPr="00D41406">
        <w:rPr>
          <w:snapToGrid w:val="0"/>
          <w:kern w:val="22"/>
          <w:szCs w:val="22"/>
          <w:lang w:val="fr-FR" w:eastAsia="fr-FR"/>
        </w:rPr>
        <w:tab/>
      </w:r>
      <w:r w:rsidRPr="00D41406">
        <w:rPr>
          <w:i/>
          <w:snapToGrid w:val="0"/>
          <w:kern w:val="22"/>
          <w:szCs w:val="22"/>
          <w:lang w:val="fr-FR" w:eastAsia="fr-FR"/>
        </w:rPr>
        <w:t>Invite</w:t>
      </w:r>
      <w:r w:rsidRPr="00D41406">
        <w:rPr>
          <w:snapToGrid w:val="0"/>
          <w:kern w:val="22"/>
          <w:szCs w:val="22"/>
          <w:lang w:val="fr-FR" w:eastAsia="fr-FR"/>
        </w:rPr>
        <w:t xml:space="preserve"> les Parties concernées à communiquer à la Secrétaire exécutive une estimation de leurs besoins de financement et d’investissement au titre du mécanisme de financement pour la troisième détermination du financement et des investissements nécessaires par la Conférence des Parties à sa</w:t>
      </w:r>
      <w:r w:rsidR="0011664D">
        <w:rPr>
          <w:snapToGrid w:val="0"/>
          <w:kern w:val="22"/>
          <w:szCs w:val="22"/>
          <w:lang w:val="fr-FR" w:eastAsia="fr-FR"/>
        </w:rPr>
        <w:t xml:space="preserve"> quinzième réunion, en ce qui concerne</w:t>
      </w:r>
      <w:r w:rsidRPr="00D41406">
        <w:rPr>
          <w:snapToGrid w:val="0"/>
          <w:kern w:val="22"/>
          <w:szCs w:val="22"/>
          <w:lang w:val="fr-FR" w:eastAsia="fr-FR"/>
        </w:rPr>
        <w:t xml:space="preserve"> la huitième reconstitution du fonds d’affectation spéciale du Fonds pour l’environnement mondial</w:t>
      </w:r>
      <w:r w:rsidRPr="00D41406">
        <w:rPr>
          <w:i/>
          <w:snapToGrid w:val="0"/>
          <w:kern w:val="22"/>
          <w:szCs w:val="22"/>
          <w:lang w:val="fr-FR" w:eastAsia="fr-FR"/>
        </w:rPr>
        <w:t> </w:t>
      </w:r>
      <w:r w:rsidRPr="00D41406">
        <w:rPr>
          <w:snapToGrid w:val="0"/>
          <w:kern w:val="22"/>
          <w:szCs w:val="22"/>
          <w:lang w:val="fr-FR" w:eastAsia="fr-FR"/>
        </w:rPr>
        <w:t>;</w:t>
      </w:r>
    </w:p>
    <w:p w14:paraId="352899C9" w14:textId="784DE2A0" w:rsidR="00D41406" w:rsidRPr="0011664D" w:rsidRDefault="00D41406" w:rsidP="00D41406">
      <w:pPr>
        <w:kinsoku w:val="0"/>
        <w:overflowPunct w:val="0"/>
        <w:autoSpaceDE w:val="0"/>
        <w:autoSpaceDN w:val="0"/>
        <w:spacing w:before="120" w:after="120"/>
        <w:ind w:firstLine="720"/>
        <w:rPr>
          <w:snapToGrid w:val="0"/>
          <w:kern w:val="22"/>
          <w:szCs w:val="22"/>
          <w:lang w:val="fr-FR" w:eastAsia="fr-FR"/>
        </w:rPr>
      </w:pPr>
      <w:r w:rsidRPr="00D41406">
        <w:rPr>
          <w:snapToGrid w:val="0"/>
          <w:kern w:val="22"/>
          <w:szCs w:val="22"/>
          <w:lang w:val="fr-FR" w:eastAsia="fr-FR"/>
        </w:rPr>
        <w:t>16.</w:t>
      </w:r>
      <w:r w:rsidRPr="00D41406">
        <w:rPr>
          <w:snapToGrid w:val="0"/>
          <w:kern w:val="22"/>
          <w:szCs w:val="22"/>
          <w:lang w:val="fr-FR" w:eastAsia="fr-FR"/>
        </w:rPr>
        <w:tab/>
      </w:r>
      <w:r w:rsidRPr="00D41406">
        <w:rPr>
          <w:i/>
          <w:snapToGrid w:val="0"/>
          <w:kern w:val="22"/>
          <w:szCs w:val="22"/>
          <w:lang w:val="fr-FR" w:eastAsia="fr-FR"/>
        </w:rPr>
        <w:t>Demande</w:t>
      </w:r>
      <w:r w:rsidRPr="00D41406">
        <w:rPr>
          <w:snapToGrid w:val="0"/>
          <w:kern w:val="22"/>
          <w:szCs w:val="22"/>
          <w:lang w:val="fr-FR" w:eastAsia="fr-FR"/>
        </w:rPr>
        <w:t xml:space="preserve"> à la Secrétaire exécutive de préparer, en collaboration avec l'équipe d'experts sous contr</w:t>
      </w:r>
      <w:r w:rsidR="0011664D">
        <w:rPr>
          <w:snapToGrid w:val="0"/>
          <w:kern w:val="22"/>
          <w:szCs w:val="22"/>
          <w:lang w:val="fr-FR" w:eastAsia="fr-FR"/>
        </w:rPr>
        <w:t>at conformément au mandat mentionné</w:t>
      </w:r>
      <w:r w:rsidRPr="00D41406">
        <w:rPr>
          <w:snapToGrid w:val="0"/>
          <w:kern w:val="22"/>
          <w:szCs w:val="22"/>
          <w:lang w:val="fr-FR" w:eastAsia="fr-FR"/>
        </w:rPr>
        <w:t xml:space="preserve"> au paragraphe 14 ci-dessus, une compilation des besoins de financement et d’investissements communiqués par les Parties concernées, en se fondant sur la méthode et les trois scénarios utilisés lors de la deuxième détermination des besoins de financement et en les peaufinant au besoin, aux fins d’examen par l’Organe subsidiaire chargé de l’application à sa troisième réunion, comme source d’information pour la troisième d</w:t>
      </w:r>
      <w:r w:rsidR="0011664D">
        <w:rPr>
          <w:snapToGrid w:val="0"/>
          <w:kern w:val="22"/>
          <w:szCs w:val="22"/>
          <w:lang w:val="fr-FR" w:eastAsia="fr-FR"/>
        </w:rPr>
        <w:t>étermination des exigences de financement</w:t>
      </w:r>
      <w:r w:rsidRPr="00D41406">
        <w:rPr>
          <w:snapToGrid w:val="0"/>
          <w:kern w:val="22"/>
          <w:szCs w:val="22"/>
          <w:lang w:val="fr-FR" w:eastAsia="fr-FR"/>
        </w:rPr>
        <w:t xml:space="preserve"> par la Conférence des Parties à sa quinzième réunion, en prévision de la huitième reconstitution du fonds d’affectation spéciale du Fonds pour l’environnement </w:t>
      </w:r>
      <w:r w:rsidRPr="0011664D">
        <w:rPr>
          <w:snapToGrid w:val="0"/>
          <w:kern w:val="22"/>
          <w:szCs w:val="22"/>
          <w:lang w:val="fr-FR" w:eastAsia="fr-FR"/>
        </w:rPr>
        <w:t>mondial ;</w:t>
      </w:r>
    </w:p>
    <w:p w14:paraId="71A0797A" w14:textId="2329E95D" w:rsidR="00D41406" w:rsidRPr="00D41406" w:rsidRDefault="00D41406" w:rsidP="00D41406">
      <w:pPr>
        <w:kinsoku w:val="0"/>
        <w:overflowPunct w:val="0"/>
        <w:autoSpaceDE w:val="0"/>
        <w:autoSpaceDN w:val="0"/>
        <w:spacing w:before="120" w:after="120"/>
        <w:ind w:firstLine="720"/>
        <w:rPr>
          <w:snapToGrid w:val="0"/>
          <w:kern w:val="22"/>
          <w:szCs w:val="22"/>
          <w:lang w:val="fr-FR" w:eastAsia="fr-FR"/>
        </w:rPr>
      </w:pPr>
      <w:r w:rsidRPr="00D41406">
        <w:rPr>
          <w:snapToGrid w:val="0"/>
          <w:kern w:val="22"/>
          <w:szCs w:val="22"/>
          <w:lang w:val="fr-FR" w:eastAsia="fr-FR"/>
        </w:rPr>
        <w:t>17.</w:t>
      </w:r>
      <w:r w:rsidRPr="00D41406">
        <w:rPr>
          <w:snapToGrid w:val="0"/>
          <w:kern w:val="22"/>
          <w:szCs w:val="22"/>
          <w:lang w:val="fr-FR" w:eastAsia="fr-FR"/>
        </w:rPr>
        <w:tab/>
      </w:r>
      <w:r w:rsidRPr="00D41406">
        <w:rPr>
          <w:i/>
          <w:snapToGrid w:val="0"/>
          <w:kern w:val="22"/>
          <w:szCs w:val="22"/>
          <w:lang w:val="fr-FR" w:eastAsia="fr-FR"/>
        </w:rPr>
        <w:t>Demande</w:t>
      </w:r>
      <w:r w:rsidRPr="00D41406">
        <w:rPr>
          <w:snapToGrid w:val="0"/>
          <w:kern w:val="22"/>
          <w:szCs w:val="22"/>
          <w:lang w:val="fr-FR" w:eastAsia="fr-FR"/>
        </w:rPr>
        <w:t xml:space="preserve"> à l’Organe subsidiaire chargé de l’application, à s</w:t>
      </w:r>
      <w:r w:rsidR="00DD08E9">
        <w:rPr>
          <w:snapToGrid w:val="0"/>
          <w:kern w:val="22"/>
          <w:szCs w:val="22"/>
          <w:lang w:val="fr-FR" w:eastAsia="fr-FR"/>
        </w:rPr>
        <w:t>a troisième réunion, de formuler</w:t>
      </w:r>
      <w:r w:rsidRPr="00D41406">
        <w:rPr>
          <w:snapToGrid w:val="0"/>
          <w:kern w:val="22"/>
          <w:szCs w:val="22"/>
          <w:lang w:val="fr-FR" w:eastAsia="fr-FR"/>
        </w:rPr>
        <w:t xml:space="preserve"> des propositions sur un cadre quadriennal</w:t>
      </w:r>
      <w:r w:rsidR="00DD08E9">
        <w:rPr>
          <w:snapToGrid w:val="0"/>
          <w:kern w:val="22"/>
          <w:szCs w:val="22"/>
          <w:lang w:val="fr-FR" w:eastAsia="fr-FR"/>
        </w:rPr>
        <w:t xml:space="preserve"> des priorités du programme ax</w:t>
      </w:r>
      <w:r w:rsidRPr="00D41406">
        <w:rPr>
          <w:snapToGrid w:val="0"/>
          <w:kern w:val="22"/>
          <w:szCs w:val="22"/>
          <w:lang w:val="fr-FR" w:eastAsia="fr-FR"/>
        </w:rPr>
        <w:t xml:space="preserve">é sur les résultats pour la huitième période de reconstitution (juillet 2022 à juin 2026) du fonds d’affectation spéciale du Fonds pour </w:t>
      </w:r>
      <w:r w:rsidRPr="00D41406">
        <w:rPr>
          <w:snapToGrid w:val="0"/>
          <w:kern w:val="22"/>
          <w:szCs w:val="22"/>
          <w:lang w:val="fr-FR" w:eastAsia="fr-FR"/>
        </w:rPr>
        <w:lastRenderedPageBreak/>
        <w:t>l’environnement mond</w:t>
      </w:r>
      <w:r w:rsidR="00DD08E9">
        <w:rPr>
          <w:snapToGrid w:val="0"/>
          <w:kern w:val="22"/>
          <w:szCs w:val="22"/>
          <w:lang w:val="fr-FR" w:eastAsia="fr-FR"/>
        </w:rPr>
        <w:t xml:space="preserve">ial, correspondant au </w:t>
      </w:r>
      <w:r w:rsidR="004B010E">
        <w:rPr>
          <w:snapToGrid w:val="0"/>
          <w:kern w:val="22"/>
          <w:szCs w:val="22"/>
          <w:lang w:val="fr-FR" w:eastAsia="fr-FR"/>
        </w:rPr>
        <w:t xml:space="preserve">projet de </w:t>
      </w:r>
      <w:r w:rsidR="00DD08E9">
        <w:rPr>
          <w:snapToGrid w:val="0"/>
          <w:kern w:val="22"/>
          <w:szCs w:val="22"/>
          <w:lang w:val="fr-FR" w:eastAsia="fr-FR"/>
        </w:rPr>
        <w:t xml:space="preserve">cadre </w:t>
      </w:r>
      <w:r w:rsidR="004B010E">
        <w:rPr>
          <w:snapToGrid w:val="0"/>
          <w:kern w:val="22"/>
          <w:szCs w:val="22"/>
          <w:lang w:val="fr-FR" w:eastAsia="fr-FR"/>
        </w:rPr>
        <w:t>mondial de la biodiversité pour l’</w:t>
      </w:r>
      <w:r w:rsidRPr="00D41406">
        <w:rPr>
          <w:snapToGrid w:val="0"/>
          <w:kern w:val="22"/>
          <w:szCs w:val="22"/>
          <w:lang w:val="fr-FR" w:eastAsia="fr-FR"/>
        </w:rPr>
        <w:t>après-2020, pour examen par la Conférence des Parties à sa quinzième réunion ;</w:t>
      </w:r>
    </w:p>
    <w:p w14:paraId="346125C5" w14:textId="116AB5E4" w:rsidR="00D41406" w:rsidRPr="00D41406" w:rsidRDefault="00D41406" w:rsidP="00D41406">
      <w:pPr>
        <w:suppressLineNumbers/>
        <w:suppressAutoHyphens/>
        <w:kinsoku w:val="0"/>
        <w:overflowPunct w:val="0"/>
        <w:autoSpaceDE w:val="0"/>
        <w:autoSpaceDN w:val="0"/>
        <w:adjustRightInd w:val="0"/>
        <w:snapToGrid w:val="0"/>
        <w:spacing w:before="120" w:after="120"/>
        <w:ind w:firstLine="720"/>
        <w:rPr>
          <w:iCs/>
          <w:kern w:val="22"/>
          <w:szCs w:val="22"/>
          <w:lang w:val="fr-FR" w:eastAsia="fr-FR"/>
        </w:rPr>
      </w:pPr>
      <w:r w:rsidRPr="00D41406">
        <w:rPr>
          <w:iCs/>
          <w:kern w:val="22"/>
          <w:szCs w:val="22"/>
          <w:lang w:val="fr-FR" w:eastAsia="fr-FR"/>
        </w:rPr>
        <w:t>18.</w:t>
      </w:r>
      <w:r w:rsidRPr="00D41406">
        <w:rPr>
          <w:iCs/>
          <w:kern w:val="22"/>
          <w:szCs w:val="22"/>
          <w:lang w:val="fr-FR" w:eastAsia="fr-FR"/>
        </w:rPr>
        <w:tab/>
      </w:r>
      <w:r w:rsidRPr="00D41406">
        <w:rPr>
          <w:i/>
          <w:iCs/>
          <w:kern w:val="22"/>
          <w:szCs w:val="22"/>
          <w:lang w:val="fr-FR" w:eastAsia="fr-FR"/>
        </w:rPr>
        <w:t>Encourage</w:t>
      </w:r>
      <w:r w:rsidRPr="00D41406">
        <w:rPr>
          <w:iCs/>
          <w:kern w:val="22"/>
          <w:szCs w:val="22"/>
          <w:lang w:val="fr-FR" w:eastAsia="fr-FR"/>
        </w:rPr>
        <w:t xml:space="preserve"> la Secrétaire exécutive à collaborer étroitement avec le Fonds pour l’environnement mo</w:t>
      </w:r>
      <w:r w:rsidR="004B010E">
        <w:rPr>
          <w:iCs/>
          <w:kern w:val="22"/>
          <w:szCs w:val="22"/>
          <w:lang w:val="fr-FR" w:eastAsia="fr-FR"/>
        </w:rPr>
        <w:t>ndial lors de la transition au c</w:t>
      </w:r>
      <w:r w:rsidRPr="00D41406">
        <w:rPr>
          <w:iCs/>
          <w:kern w:val="22"/>
          <w:szCs w:val="22"/>
          <w:lang w:val="fr-FR" w:eastAsia="fr-FR"/>
        </w:rPr>
        <w:t>adre mondial de la biodiversité pour l’après-2020 ;</w:t>
      </w:r>
    </w:p>
    <w:p w14:paraId="0DF2D880" w14:textId="10FFC508" w:rsidR="00D41406" w:rsidRPr="00F537A0" w:rsidRDefault="00D41406" w:rsidP="00F537A0">
      <w:pPr>
        <w:suppressLineNumbers/>
        <w:suppressAutoHyphens/>
        <w:kinsoku w:val="0"/>
        <w:overflowPunct w:val="0"/>
        <w:autoSpaceDE w:val="0"/>
        <w:autoSpaceDN w:val="0"/>
        <w:adjustRightInd w:val="0"/>
        <w:snapToGrid w:val="0"/>
        <w:spacing w:before="120" w:after="120"/>
        <w:ind w:firstLine="720"/>
        <w:rPr>
          <w:kern w:val="22"/>
          <w:szCs w:val="22"/>
          <w:lang w:val="fr-FR" w:eastAsia="fr-FR"/>
        </w:rPr>
      </w:pPr>
      <w:r w:rsidRPr="00D41406">
        <w:rPr>
          <w:kern w:val="22"/>
          <w:szCs w:val="22"/>
          <w:lang w:val="fr-FR" w:eastAsia="fr-FR"/>
        </w:rPr>
        <w:t>19.</w:t>
      </w:r>
      <w:r w:rsidRPr="00D41406">
        <w:rPr>
          <w:kern w:val="22"/>
          <w:szCs w:val="22"/>
          <w:lang w:val="fr-FR" w:eastAsia="fr-FR"/>
        </w:rPr>
        <w:tab/>
      </w:r>
      <w:r w:rsidRPr="00D41406">
        <w:rPr>
          <w:i/>
          <w:kern w:val="22"/>
          <w:szCs w:val="22"/>
          <w:lang w:val="fr-FR" w:eastAsia="fr-FR"/>
        </w:rPr>
        <w:t>Encourage également</w:t>
      </w:r>
      <w:r w:rsidRPr="00D41406">
        <w:rPr>
          <w:kern w:val="22"/>
          <w:szCs w:val="22"/>
          <w:lang w:val="fr-FR" w:eastAsia="fr-FR"/>
        </w:rPr>
        <w:t xml:space="preserve"> la Secrétaire exécutive à collaborer étroitement avec les agences associées au Fonds pour l’environnement mo</w:t>
      </w:r>
      <w:r w:rsidR="004B010E">
        <w:rPr>
          <w:kern w:val="22"/>
          <w:szCs w:val="22"/>
          <w:lang w:val="fr-FR" w:eastAsia="fr-FR"/>
        </w:rPr>
        <w:t>ndial lors de la transition au c</w:t>
      </w:r>
      <w:r w:rsidRPr="00D41406">
        <w:rPr>
          <w:kern w:val="22"/>
          <w:szCs w:val="22"/>
          <w:lang w:val="fr-FR" w:eastAsia="fr-FR"/>
        </w:rPr>
        <w:t>adre mondial de la biodiversité pour l’après-2020, compte tenu de la nécessité de promouvoir de plus grandes synergies entre le Fonds pour l’environnement mondial et d’autres mécanismes de financement</w:t>
      </w:r>
      <w:r w:rsidRPr="00D41406">
        <w:rPr>
          <w:i/>
          <w:kern w:val="22"/>
          <w:szCs w:val="22"/>
          <w:lang w:val="fr-FR" w:eastAsia="fr-FR"/>
        </w:rPr>
        <w:t>.</w:t>
      </w:r>
    </w:p>
    <w:p w14:paraId="3868697D" w14:textId="77777777" w:rsidR="00D41406" w:rsidRPr="00D41406" w:rsidRDefault="00D41406" w:rsidP="00D41406">
      <w:pPr>
        <w:keepNext/>
        <w:keepLines/>
        <w:spacing w:before="240" w:after="120"/>
        <w:jc w:val="center"/>
        <w:rPr>
          <w:rFonts w:eastAsia="Malgun Gothic"/>
          <w:i/>
          <w:iCs/>
          <w:kern w:val="22"/>
          <w:szCs w:val="22"/>
          <w:lang w:val="fr-FR" w:eastAsia="fr-FR"/>
        </w:rPr>
      </w:pPr>
      <w:r w:rsidRPr="00D41406">
        <w:rPr>
          <w:rFonts w:eastAsia="Malgun Gothic"/>
          <w:i/>
          <w:iCs/>
          <w:kern w:val="22"/>
          <w:szCs w:val="22"/>
          <w:lang w:val="fr-FR" w:eastAsia="fr-FR"/>
        </w:rPr>
        <w:t>Annexe</w:t>
      </w:r>
    </w:p>
    <w:p w14:paraId="18A3A2B9" w14:textId="77777777" w:rsidR="00D41406" w:rsidRPr="00D41406" w:rsidRDefault="00D41406" w:rsidP="00D41406">
      <w:pPr>
        <w:keepNext/>
        <w:keepLines/>
        <w:spacing w:before="240" w:after="120"/>
        <w:ind w:left="706" w:hanging="706"/>
        <w:jc w:val="center"/>
        <w:rPr>
          <w:rFonts w:eastAsia="Malgun Gothic"/>
          <w:b/>
          <w:bCs/>
          <w:kern w:val="22"/>
          <w:szCs w:val="22"/>
          <w:lang w:val="fr-FR" w:eastAsia="fr-FR"/>
        </w:rPr>
      </w:pPr>
      <w:r w:rsidRPr="00D41406">
        <w:rPr>
          <w:rFonts w:eastAsia="Malgun Gothic"/>
          <w:b/>
          <w:bCs/>
          <w:kern w:val="22"/>
          <w:szCs w:val="22"/>
          <w:lang w:val="fr-FR" w:eastAsia="fr-FR"/>
        </w:rPr>
        <w:t>MANDAT POUR UNE ÉVALUATION COMPLÈTE DU MONTANT DES FONDS NÉCESSAIRES À L’APPLICATION DE LA CONVENTION ET DE SES PROTOCOLES POUR LA HUITIÈME PÉRIODE DE RECONSTITUTION DU FONDS D’AFFECTATION SPÉCIALE DU FONDS POUR L’ENVIRONNEMENT MONDIAL</w:t>
      </w:r>
    </w:p>
    <w:p w14:paraId="58A66387" w14:textId="77777777" w:rsidR="00D41406" w:rsidRPr="00D41406" w:rsidRDefault="00D41406" w:rsidP="00AE7A2E">
      <w:pPr>
        <w:keepNext/>
        <w:keepLines/>
        <w:spacing w:before="240" w:after="120"/>
        <w:rPr>
          <w:rFonts w:eastAsia="Malgun Gothic"/>
          <w:b/>
          <w:bCs/>
          <w:kern w:val="22"/>
          <w:szCs w:val="22"/>
          <w:lang w:val="fr-FR" w:eastAsia="fr-FR"/>
        </w:rPr>
      </w:pPr>
      <w:r w:rsidRPr="00D41406">
        <w:rPr>
          <w:rFonts w:eastAsia="Malgun Gothic"/>
          <w:b/>
          <w:bCs/>
          <w:kern w:val="22"/>
          <w:szCs w:val="22"/>
          <w:lang w:val="fr-FR" w:eastAsia="fr-FR"/>
        </w:rPr>
        <w:t>Objectif</w:t>
      </w:r>
    </w:p>
    <w:p w14:paraId="02452776" w14:textId="77777777" w:rsidR="00D41406" w:rsidRPr="00D41406" w:rsidRDefault="00D41406" w:rsidP="00D41406">
      <w:pPr>
        <w:keepLines/>
        <w:numPr>
          <w:ilvl w:val="0"/>
          <w:numId w:val="20"/>
        </w:numPr>
        <w:tabs>
          <w:tab w:val="left" w:pos="567"/>
        </w:tabs>
        <w:spacing w:before="120" w:after="120"/>
        <w:ind w:left="0" w:firstLine="0"/>
        <w:rPr>
          <w:rFonts w:eastAsia="Malgun Gothic"/>
          <w:kern w:val="22"/>
          <w:szCs w:val="22"/>
          <w:lang w:val="fr-FR" w:eastAsia="fr-FR"/>
        </w:rPr>
      </w:pPr>
      <w:r w:rsidRPr="00D41406">
        <w:rPr>
          <w:rFonts w:eastAsia="Malgun Gothic"/>
          <w:kern w:val="22"/>
          <w:szCs w:val="22"/>
          <w:lang w:val="fr-FR" w:eastAsia="fr-FR"/>
        </w:rPr>
        <w:t>L’objectif des travaux à réaliser est d’une part de permettre à la Conférence des Parties de faire une évaluation du montant des fonds nécessaires pour aider les pays en développement et les pays à économie en transition, conformément aux orientations fournies par la Conférence des Parties, à s’acquitter de leurs obligations au titre de la Convention et de ses protocoles pendant la huitième période de reconstitution des ressources du Fonds pour l’environnement mondial (FEM) et, d’autre part, de déterminer le volume des ressources nécessaires, conformément au paragraphe 1 de l’article 21 et à la </w:t>
      </w:r>
      <w:hyperlink r:id="rId13" w:history="1">
        <w:r w:rsidRPr="00D41406">
          <w:rPr>
            <w:rFonts w:eastAsia="Malgun Gothic"/>
            <w:kern w:val="22"/>
            <w:szCs w:val="22"/>
            <w:lang w:val="fr-FR" w:eastAsia="fr-FR"/>
          </w:rPr>
          <w:t>décision III/8</w:t>
        </w:r>
      </w:hyperlink>
      <w:r w:rsidRPr="00D41406">
        <w:rPr>
          <w:rFonts w:eastAsia="Malgun Gothic"/>
          <w:kern w:val="22"/>
          <w:szCs w:val="22"/>
          <w:lang w:val="fr-FR" w:eastAsia="fr-FR"/>
        </w:rPr>
        <w:t>.</w:t>
      </w:r>
    </w:p>
    <w:p w14:paraId="32077F2F" w14:textId="77777777" w:rsidR="00D41406" w:rsidRPr="00D41406" w:rsidRDefault="00D41406" w:rsidP="00D41406">
      <w:pPr>
        <w:keepLines/>
        <w:spacing w:before="120" w:after="120"/>
        <w:rPr>
          <w:rFonts w:eastAsia="Malgun Gothic"/>
          <w:b/>
          <w:bCs/>
          <w:kern w:val="22"/>
          <w:szCs w:val="22"/>
          <w:lang w:val="fr-FR" w:eastAsia="fr-FR"/>
        </w:rPr>
      </w:pPr>
      <w:r w:rsidRPr="00D41406">
        <w:rPr>
          <w:rFonts w:eastAsia="Malgun Gothic"/>
          <w:b/>
          <w:bCs/>
          <w:kern w:val="22"/>
          <w:szCs w:val="22"/>
          <w:lang w:val="fr-FR" w:eastAsia="fr-FR"/>
        </w:rPr>
        <w:t>Champ d’application</w:t>
      </w:r>
    </w:p>
    <w:p w14:paraId="64A6F315" w14:textId="4C4A6845" w:rsidR="00D41406" w:rsidRPr="00D41406" w:rsidRDefault="00D41406" w:rsidP="00D41406">
      <w:pPr>
        <w:keepLines/>
        <w:numPr>
          <w:ilvl w:val="0"/>
          <w:numId w:val="19"/>
        </w:numPr>
        <w:tabs>
          <w:tab w:val="left" w:pos="567"/>
        </w:tabs>
        <w:spacing w:before="120" w:after="120"/>
        <w:ind w:left="0" w:firstLine="0"/>
        <w:rPr>
          <w:rFonts w:eastAsia="Malgun Gothic"/>
          <w:kern w:val="22"/>
          <w:szCs w:val="22"/>
          <w:lang w:val="fr-FR" w:eastAsia="fr-FR"/>
        </w:rPr>
      </w:pPr>
      <w:r w:rsidRPr="00D41406">
        <w:rPr>
          <w:rFonts w:eastAsia="Malgun Gothic"/>
          <w:kern w:val="22"/>
          <w:szCs w:val="22"/>
          <w:lang w:val="fr-FR" w:eastAsia="fr-FR"/>
        </w:rPr>
        <w:t>L’évaluation des fonds nécessaires à l’application de la Convention et de ses Protocoles devrait être détaillée et centrée essentiellement sur l’évaluation du total des fonds nécessaires pour financer la totalité des coûts marginaux convenus des mesures que les pays en développement Parties et les Parties à économie en transition qui sont admissibles à un soutien du FEM prennent, conformément aux orientations fournies par la Conférence des Parties, pour s’acquitter de leurs obligations au titre de la Convention</w:t>
      </w:r>
      <w:r w:rsidR="00E040B3">
        <w:rPr>
          <w:rFonts w:eastAsia="Malgun Gothic"/>
          <w:kern w:val="22"/>
          <w:szCs w:val="22"/>
          <w:lang w:val="fr-FR" w:eastAsia="fr-FR"/>
        </w:rPr>
        <w:t xml:space="preserve"> et de ses protocoles</w:t>
      </w:r>
      <w:r w:rsidRPr="00D41406">
        <w:rPr>
          <w:rFonts w:eastAsia="Malgun Gothic"/>
          <w:kern w:val="22"/>
          <w:szCs w:val="22"/>
          <w:lang w:val="fr-FR" w:eastAsia="fr-FR"/>
        </w:rPr>
        <w:t xml:space="preserve"> pour la période allant de juillet 2022 à juin 2026.</w:t>
      </w:r>
    </w:p>
    <w:p w14:paraId="73C868A2" w14:textId="77777777" w:rsidR="00D41406" w:rsidRPr="00D41406" w:rsidRDefault="00D41406" w:rsidP="00D41406">
      <w:pPr>
        <w:keepLines/>
        <w:spacing w:before="120" w:after="120"/>
        <w:rPr>
          <w:rFonts w:eastAsia="Malgun Gothic"/>
          <w:b/>
          <w:bCs/>
          <w:kern w:val="22"/>
          <w:szCs w:val="22"/>
          <w:lang w:val="fr-FR" w:eastAsia="fr-FR"/>
        </w:rPr>
      </w:pPr>
      <w:r w:rsidRPr="00D41406">
        <w:rPr>
          <w:rFonts w:eastAsia="Malgun Gothic"/>
          <w:b/>
          <w:bCs/>
          <w:kern w:val="22"/>
          <w:szCs w:val="22"/>
          <w:lang w:val="fr-FR" w:eastAsia="fr-FR"/>
        </w:rPr>
        <w:t>Méthodologie</w:t>
      </w:r>
    </w:p>
    <w:p w14:paraId="6A63004A" w14:textId="77777777" w:rsidR="00D41406" w:rsidRPr="00D41406" w:rsidRDefault="00D41406" w:rsidP="00D41406">
      <w:pPr>
        <w:keepLines/>
        <w:numPr>
          <w:ilvl w:val="0"/>
          <w:numId w:val="19"/>
        </w:numPr>
        <w:tabs>
          <w:tab w:val="left" w:pos="567"/>
        </w:tabs>
        <w:spacing w:before="120" w:after="120"/>
        <w:ind w:left="0" w:firstLine="0"/>
        <w:rPr>
          <w:rFonts w:eastAsia="Malgun Gothic"/>
          <w:kern w:val="22"/>
          <w:szCs w:val="22"/>
          <w:lang w:val="fr-FR" w:eastAsia="fr-FR"/>
        </w:rPr>
      </w:pPr>
      <w:r w:rsidRPr="00D41406">
        <w:rPr>
          <w:rFonts w:eastAsia="Malgun Gothic"/>
          <w:kern w:val="22"/>
          <w:szCs w:val="22"/>
          <w:lang w:val="fr-FR" w:eastAsia="fr-FR"/>
        </w:rPr>
        <w:t>L’évaluation des besoins de financement devrait prendre en compte :</w:t>
      </w:r>
    </w:p>
    <w:p w14:paraId="730F1762" w14:textId="77777777" w:rsidR="00D41406" w:rsidRPr="00D41406" w:rsidRDefault="00D41406" w:rsidP="00D41406">
      <w:pPr>
        <w:keepLines/>
        <w:numPr>
          <w:ilvl w:val="0"/>
          <w:numId w:val="21"/>
        </w:numPr>
        <w:spacing w:before="120" w:after="120"/>
        <w:ind w:left="0" w:firstLine="677"/>
        <w:rPr>
          <w:rFonts w:eastAsia="Malgun Gothic"/>
          <w:kern w:val="22"/>
          <w:szCs w:val="22"/>
          <w:lang w:val="fr-FR" w:eastAsia="fr-FR"/>
        </w:rPr>
      </w:pPr>
      <w:r w:rsidRPr="00D41406">
        <w:rPr>
          <w:rFonts w:eastAsia="Malgun Gothic"/>
          <w:kern w:val="22"/>
          <w:szCs w:val="22"/>
          <w:lang w:val="fr-FR" w:eastAsia="fr-FR"/>
        </w:rPr>
        <w:t>Le paragraphe 2 de l’article 20 et le paragraphe 1 de l’article 21 de la Convention, ainsi que l'Objectif d'Aichi 20 pour la biodiversité du Plan Stratégique pour la diversité biologique 2011-2020 ;</w:t>
      </w:r>
    </w:p>
    <w:p w14:paraId="2500F826" w14:textId="77777777" w:rsidR="00D41406" w:rsidRPr="00D41406" w:rsidRDefault="00D41406" w:rsidP="00D41406">
      <w:pPr>
        <w:keepLines/>
        <w:numPr>
          <w:ilvl w:val="0"/>
          <w:numId w:val="21"/>
        </w:numPr>
        <w:spacing w:before="120" w:after="120"/>
        <w:ind w:left="0" w:firstLine="677"/>
        <w:rPr>
          <w:rFonts w:eastAsia="Malgun Gothic"/>
          <w:kern w:val="22"/>
          <w:szCs w:val="22"/>
          <w:lang w:val="fr-FR" w:eastAsia="fr-FR"/>
        </w:rPr>
      </w:pPr>
      <w:r w:rsidRPr="00D41406">
        <w:rPr>
          <w:rFonts w:eastAsia="Malgun Gothic"/>
          <w:kern w:val="22"/>
          <w:szCs w:val="22"/>
          <w:lang w:val="fr-FR" w:eastAsia="fr-FR"/>
        </w:rPr>
        <w:t>Les orientations données par la Conférence des Parties au mécanisme de financement, qui préconisent la mobilisation de futures ressources financières ;</w:t>
      </w:r>
    </w:p>
    <w:p w14:paraId="313C92DC" w14:textId="77777777" w:rsidR="00D41406" w:rsidRPr="00D41406" w:rsidRDefault="00D41406" w:rsidP="00D41406">
      <w:pPr>
        <w:keepLines/>
        <w:numPr>
          <w:ilvl w:val="0"/>
          <w:numId w:val="21"/>
        </w:numPr>
        <w:spacing w:before="120" w:after="120"/>
        <w:ind w:left="0" w:firstLine="677"/>
        <w:rPr>
          <w:rFonts w:eastAsia="Malgun Gothic"/>
          <w:kern w:val="22"/>
          <w:szCs w:val="22"/>
          <w:lang w:val="fr-FR" w:eastAsia="fr-FR"/>
        </w:rPr>
      </w:pPr>
      <w:r w:rsidRPr="00D41406">
        <w:rPr>
          <w:rFonts w:eastAsia="Malgun Gothic"/>
          <w:kern w:val="22"/>
          <w:szCs w:val="22"/>
          <w:lang w:val="fr-FR" w:eastAsia="fr-FR"/>
        </w:rPr>
        <w:t>Toutes les obligations dans le cadre de la Convention et les décisions pertinentes adoptées par la Conférence des Parties ;</w:t>
      </w:r>
    </w:p>
    <w:p w14:paraId="7BDADF94" w14:textId="77777777" w:rsidR="00D41406" w:rsidRPr="00D41406" w:rsidRDefault="00D41406" w:rsidP="00D41406">
      <w:pPr>
        <w:keepLines/>
        <w:numPr>
          <w:ilvl w:val="0"/>
          <w:numId w:val="21"/>
        </w:numPr>
        <w:spacing w:before="120" w:after="120"/>
        <w:ind w:left="0" w:firstLine="677"/>
        <w:rPr>
          <w:rFonts w:eastAsia="Malgun Gothic"/>
          <w:kern w:val="22"/>
          <w:szCs w:val="22"/>
          <w:lang w:val="fr-FR" w:eastAsia="fr-FR"/>
        </w:rPr>
      </w:pPr>
      <w:r w:rsidRPr="00D41406">
        <w:rPr>
          <w:rFonts w:eastAsia="Malgun Gothic"/>
          <w:kern w:val="22"/>
          <w:szCs w:val="22"/>
          <w:lang w:val="fr-FR" w:eastAsia="fr-FR"/>
        </w:rPr>
        <w:t>Les informations communiquées à la Conférence des Parties dans les rapports nationaux et les informations fournies par les Parties via le cadre de présentation des rapports financiers ;</w:t>
      </w:r>
    </w:p>
    <w:p w14:paraId="16C032EB" w14:textId="2F53643C" w:rsidR="00D41406" w:rsidRPr="00D41406" w:rsidRDefault="00D41406" w:rsidP="00D41406">
      <w:pPr>
        <w:keepLines/>
        <w:numPr>
          <w:ilvl w:val="0"/>
          <w:numId w:val="21"/>
        </w:numPr>
        <w:spacing w:before="120" w:after="120"/>
        <w:ind w:left="0" w:firstLine="677"/>
        <w:rPr>
          <w:rFonts w:eastAsia="Malgun Gothic"/>
          <w:kern w:val="22"/>
          <w:szCs w:val="22"/>
          <w:lang w:val="fr-FR" w:eastAsia="fr-FR"/>
        </w:rPr>
      </w:pPr>
      <w:r w:rsidRPr="00D41406">
        <w:rPr>
          <w:rFonts w:eastAsia="Malgun Gothic"/>
          <w:kern w:val="22"/>
          <w:szCs w:val="22"/>
          <w:lang w:val="fr-FR" w:eastAsia="fr-FR"/>
        </w:rPr>
        <w:t>Les règles et ligne</w:t>
      </w:r>
      <w:r w:rsidR="00A811C7">
        <w:rPr>
          <w:rFonts w:eastAsia="Malgun Gothic"/>
          <w:kern w:val="22"/>
          <w:szCs w:val="22"/>
          <w:lang w:val="fr-FR" w:eastAsia="fr-FR"/>
        </w:rPr>
        <w:t>s directrices convenues par le C</w:t>
      </w:r>
      <w:r w:rsidRPr="00D41406">
        <w:rPr>
          <w:rFonts w:eastAsia="Malgun Gothic"/>
          <w:kern w:val="22"/>
          <w:szCs w:val="22"/>
          <w:lang w:val="fr-FR" w:eastAsia="fr-FR"/>
        </w:rPr>
        <w:t>onseil du Fonds pour l'environnement mondial pour déterminer l’admissibilité au financement des projets ;</w:t>
      </w:r>
    </w:p>
    <w:p w14:paraId="666E287A" w14:textId="77777777" w:rsidR="00D41406" w:rsidRPr="00D41406" w:rsidRDefault="00D41406" w:rsidP="00D41406">
      <w:pPr>
        <w:keepLines/>
        <w:numPr>
          <w:ilvl w:val="0"/>
          <w:numId w:val="21"/>
        </w:numPr>
        <w:spacing w:before="120" w:after="120"/>
        <w:ind w:left="0" w:firstLine="677"/>
        <w:rPr>
          <w:rFonts w:eastAsia="Malgun Gothic"/>
          <w:kern w:val="22"/>
          <w:szCs w:val="22"/>
          <w:lang w:val="fr-FR" w:eastAsia="fr-FR"/>
        </w:rPr>
      </w:pPr>
      <w:r w:rsidRPr="00D41406">
        <w:rPr>
          <w:rFonts w:eastAsia="Malgun Gothic"/>
          <w:kern w:val="22"/>
          <w:szCs w:val="22"/>
          <w:lang w:val="fr-FR" w:eastAsia="fr-FR"/>
        </w:rPr>
        <w:t>Les stratégies, plans ou programmes nationaux élaborés conformément à l’article 6 de la Convention ;</w:t>
      </w:r>
    </w:p>
    <w:p w14:paraId="2B13B89F" w14:textId="29B26D46" w:rsidR="00D41406" w:rsidRPr="00D41406" w:rsidRDefault="00D41406" w:rsidP="00D41406">
      <w:pPr>
        <w:keepLines/>
        <w:numPr>
          <w:ilvl w:val="0"/>
          <w:numId w:val="21"/>
        </w:numPr>
        <w:spacing w:before="120" w:after="120"/>
        <w:ind w:left="0" w:firstLine="677"/>
        <w:rPr>
          <w:rFonts w:eastAsia="Malgun Gothic"/>
          <w:kern w:val="22"/>
          <w:szCs w:val="22"/>
          <w:lang w:val="fr-FR" w:eastAsia="fr-FR"/>
        </w:rPr>
      </w:pPr>
      <w:r w:rsidRPr="00D41406">
        <w:rPr>
          <w:rFonts w:eastAsia="Malgun Gothic"/>
          <w:kern w:val="22"/>
          <w:szCs w:val="22"/>
          <w:lang w:val="fr-FR" w:eastAsia="fr-FR"/>
        </w:rPr>
        <w:lastRenderedPageBreak/>
        <w:t>L’expérience acquise à ce jour, y compris les limites et les réussites des projets financés par le Fonds pour l’environnement mondial, de même que les réalisations du Fonds et de ses agences d</w:t>
      </w:r>
      <w:r w:rsidR="00A811C7">
        <w:rPr>
          <w:rFonts w:eastAsia="Malgun Gothic"/>
          <w:kern w:val="22"/>
          <w:szCs w:val="22"/>
          <w:lang w:val="fr-FR" w:eastAsia="fr-FR"/>
        </w:rPr>
        <w:t>’exécution et de mise en œuvre ;</w:t>
      </w:r>
    </w:p>
    <w:p w14:paraId="2E9E7F9C" w14:textId="6573D469" w:rsidR="00D41406" w:rsidRPr="00D41406" w:rsidRDefault="00D41406" w:rsidP="00D41406">
      <w:pPr>
        <w:keepLines/>
        <w:numPr>
          <w:ilvl w:val="0"/>
          <w:numId w:val="21"/>
        </w:numPr>
        <w:spacing w:before="120" w:after="120"/>
        <w:ind w:left="0" w:firstLine="677"/>
        <w:rPr>
          <w:rFonts w:eastAsia="Malgun Gothic"/>
          <w:kern w:val="22"/>
          <w:szCs w:val="22"/>
          <w:lang w:val="fr-FR" w:eastAsia="fr-FR"/>
        </w:rPr>
      </w:pPr>
      <w:r w:rsidRPr="00D41406">
        <w:rPr>
          <w:rFonts w:eastAsia="Malgun Gothic"/>
          <w:kern w:val="22"/>
          <w:szCs w:val="22"/>
          <w:lang w:val="fr-FR" w:eastAsia="fr-FR"/>
        </w:rPr>
        <w:t>Les synergies avec les autres</w:t>
      </w:r>
      <w:r w:rsidR="00A811C7">
        <w:rPr>
          <w:rFonts w:eastAsia="Malgun Gothic"/>
          <w:kern w:val="22"/>
          <w:szCs w:val="22"/>
          <w:lang w:val="fr-FR" w:eastAsia="fr-FR"/>
        </w:rPr>
        <w:t xml:space="preserve"> conventions financées par le FEM</w:t>
      </w:r>
      <w:r w:rsidRPr="00D41406">
        <w:rPr>
          <w:rFonts w:eastAsia="Malgun Gothic"/>
          <w:kern w:val="22"/>
          <w:szCs w:val="22"/>
          <w:lang w:val="fr-FR" w:eastAsia="fr-FR"/>
        </w:rPr>
        <w:t> ;</w:t>
      </w:r>
    </w:p>
    <w:p w14:paraId="119240F7" w14:textId="77777777" w:rsidR="00D41406" w:rsidRPr="00D41406" w:rsidRDefault="00D41406" w:rsidP="00D41406">
      <w:pPr>
        <w:keepLines/>
        <w:numPr>
          <w:ilvl w:val="0"/>
          <w:numId w:val="21"/>
        </w:numPr>
        <w:spacing w:before="120" w:after="120"/>
        <w:ind w:left="0" w:firstLine="677"/>
        <w:rPr>
          <w:rFonts w:eastAsia="Malgun Gothic"/>
          <w:kern w:val="22"/>
          <w:szCs w:val="22"/>
          <w:lang w:val="fr-FR" w:eastAsia="fr-FR"/>
        </w:rPr>
      </w:pPr>
      <w:r w:rsidRPr="00D41406">
        <w:rPr>
          <w:rFonts w:eastAsia="Malgun Gothic"/>
          <w:kern w:val="22"/>
          <w:szCs w:val="22"/>
          <w:lang w:val="fr-FR" w:eastAsia="fr-FR"/>
        </w:rPr>
        <w:t>Les synergies avec les autres conventions relatives à la diversité biologique ;</w:t>
      </w:r>
    </w:p>
    <w:p w14:paraId="32D30D89" w14:textId="77777777" w:rsidR="00D41406" w:rsidRPr="00D41406" w:rsidRDefault="00D41406" w:rsidP="00D41406">
      <w:pPr>
        <w:keepLines/>
        <w:numPr>
          <w:ilvl w:val="0"/>
          <w:numId w:val="21"/>
        </w:numPr>
        <w:spacing w:before="120" w:after="120"/>
        <w:ind w:left="0" w:firstLine="677"/>
        <w:rPr>
          <w:rFonts w:eastAsia="Malgun Gothic"/>
          <w:kern w:val="22"/>
          <w:szCs w:val="22"/>
          <w:lang w:val="fr-FR" w:eastAsia="fr-FR"/>
        </w:rPr>
      </w:pPr>
      <w:r w:rsidRPr="00D41406">
        <w:rPr>
          <w:rFonts w:eastAsia="Malgun Gothic"/>
          <w:kern w:val="22"/>
          <w:szCs w:val="22"/>
          <w:lang w:val="fr-FR" w:eastAsia="fr-FR"/>
        </w:rPr>
        <w:t>La stratégie de mobilisation des ressources et ses objectifs ;</w:t>
      </w:r>
    </w:p>
    <w:p w14:paraId="65BB1762" w14:textId="77777777" w:rsidR="00D41406" w:rsidRPr="00D41406" w:rsidRDefault="00D41406" w:rsidP="00D41406">
      <w:pPr>
        <w:keepLines/>
        <w:numPr>
          <w:ilvl w:val="0"/>
          <w:numId w:val="21"/>
        </w:numPr>
        <w:spacing w:before="120" w:after="120"/>
        <w:ind w:left="0" w:firstLine="677"/>
        <w:rPr>
          <w:rFonts w:eastAsia="Malgun Gothic"/>
          <w:kern w:val="22"/>
          <w:szCs w:val="22"/>
          <w:lang w:val="fr-FR" w:eastAsia="fr-FR"/>
        </w:rPr>
      </w:pPr>
      <w:r w:rsidRPr="00D41406">
        <w:rPr>
          <w:rFonts w:eastAsia="Malgun Gothic"/>
          <w:kern w:val="22"/>
          <w:szCs w:val="22"/>
          <w:lang w:val="fr-FR" w:eastAsia="fr-FR"/>
        </w:rPr>
        <w:t>Le deuxième rapport du Groupe de haut niveau sur l’évaluation mondiale des ressources pour la mise en œuvre du Plan stratégique pour la diversité biologique 2011–2020 et ses recommandations ;</w:t>
      </w:r>
    </w:p>
    <w:p w14:paraId="557D09E7" w14:textId="77777777" w:rsidR="00D41406" w:rsidRPr="00D41406" w:rsidRDefault="00D41406" w:rsidP="00D41406">
      <w:pPr>
        <w:keepLines/>
        <w:numPr>
          <w:ilvl w:val="0"/>
          <w:numId w:val="21"/>
        </w:numPr>
        <w:spacing w:before="120" w:after="120"/>
        <w:ind w:left="0" w:firstLine="677"/>
        <w:rPr>
          <w:rFonts w:eastAsia="Malgun Gothic"/>
          <w:kern w:val="22"/>
          <w:szCs w:val="22"/>
          <w:lang w:val="fr-FR" w:eastAsia="fr-FR"/>
        </w:rPr>
      </w:pPr>
      <w:r w:rsidRPr="00D41406">
        <w:rPr>
          <w:rFonts w:eastAsia="Malgun Gothic"/>
          <w:kern w:val="22"/>
          <w:szCs w:val="22"/>
          <w:lang w:val="fr-FR" w:eastAsia="fr-FR"/>
        </w:rPr>
        <w:t>Les stratégies et plans d’action nationaux pour la diversité biologique, s’il y a lieu ;</w:t>
      </w:r>
    </w:p>
    <w:p w14:paraId="38F1D40F" w14:textId="77777777" w:rsidR="00D41406" w:rsidRPr="00D41406" w:rsidRDefault="00D41406" w:rsidP="00D41406">
      <w:pPr>
        <w:keepLines/>
        <w:numPr>
          <w:ilvl w:val="0"/>
          <w:numId w:val="21"/>
        </w:numPr>
        <w:spacing w:before="120" w:after="120"/>
        <w:ind w:left="0" w:firstLine="677"/>
        <w:rPr>
          <w:rFonts w:eastAsia="Malgun Gothic"/>
          <w:kern w:val="22"/>
          <w:szCs w:val="22"/>
          <w:lang w:val="fr-FR" w:eastAsia="fr-FR"/>
        </w:rPr>
      </w:pPr>
      <w:r w:rsidRPr="00D41406">
        <w:rPr>
          <w:rFonts w:eastAsia="Malgun Gothic"/>
          <w:kern w:val="22"/>
          <w:szCs w:val="22"/>
          <w:lang w:val="fr-FR" w:eastAsia="fr-FR"/>
        </w:rPr>
        <w:t>Le projet de cadre mondial de la biodiversité pour l'après-2020 ;</w:t>
      </w:r>
    </w:p>
    <w:p w14:paraId="306127EE" w14:textId="627BDF08" w:rsidR="00D41406" w:rsidRPr="00D41406" w:rsidRDefault="00D41406" w:rsidP="00D41406">
      <w:pPr>
        <w:keepLines/>
        <w:numPr>
          <w:ilvl w:val="0"/>
          <w:numId w:val="21"/>
        </w:numPr>
        <w:spacing w:before="120" w:after="120"/>
        <w:ind w:left="0" w:firstLine="677"/>
        <w:rPr>
          <w:rFonts w:eastAsia="Malgun Gothic"/>
          <w:kern w:val="22"/>
          <w:szCs w:val="22"/>
          <w:lang w:val="fr-FR" w:eastAsia="fr-FR"/>
        </w:rPr>
      </w:pPr>
      <w:r w:rsidRPr="00D41406">
        <w:rPr>
          <w:rFonts w:eastAsia="Malgun Gothic"/>
          <w:kern w:val="22"/>
          <w:szCs w:val="22"/>
          <w:lang w:val="fr-FR" w:eastAsia="fr-FR"/>
        </w:rPr>
        <w:t>Les progrès accom</w:t>
      </w:r>
      <w:r w:rsidR="00A811C7">
        <w:rPr>
          <w:rFonts w:eastAsia="Malgun Gothic"/>
          <w:kern w:val="22"/>
          <w:szCs w:val="22"/>
          <w:lang w:val="fr-FR" w:eastAsia="fr-FR"/>
        </w:rPr>
        <w:t>plis dans la mise en œuvre des O</w:t>
      </w:r>
      <w:r w:rsidRPr="00D41406">
        <w:rPr>
          <w:rFonts w:eastAsia="Malgun Gothic"/>
          <w:kern w:val="22"/>
          <w:szCs w:val="22"/>
          <w:lang w:val="fr-FR" w:eastAsia="fr-FR"/>
        </w:rPr>
        <w:t>bjectifs de développement durable, en particulier l'objectif 17 (renforcer les moyens de mise en œuvre).</w:t>
      </w:r>
    </w:p>
    <w:p w14:paraId="1A459F31" w14:textId="77777777" w:rsidR="00D41406" w:rsidRPr="00D41406" w:rsidRDefault="00D41406" w:rsidP="00D41406">
      <w:pPr>
        <w:keepNext/>
        <w:spacing w:before="120" w:after="120"/>
        <w:rPr>
          <w:rFonts w:eastAsia="Malgun Gothic"/>
          <w:b/>
          <w:bCs/>
          <w:kern w:val="22"/>
          <w:szCs w:val="22"/>
          <w:lang w:val="fr-FR" w:eastAsia="fr-FR"/>
        </w:rPr>
      </w:pPr>
      <w:r w:rsidRPr="00D41406">
        <w:rPr>
          <w:rFonts w:eastAsia="Malgun Gothic"/>
          <w:b/>
          <w:bCs/>
          <w:kern w:val="22"/>
          <w:szCs w:val="22"/>
          <w:lang w:val="fr-FR" w:eastAsia="fr-FR"/>
        </w:rPr>
        <w:t>Procédures d'application</w:t>
      </w:r>
    </w:p>
    <w:p w14:paraId="7BF8EA72" w14:textId="2D870A07" w:rsidR="00D41406" w:rsidRPr="00D41406" w:rsidRDefault="00D41406" w:rsidP="00D41406">
      <w:pPr>
        <w:keepLines/>
        <w:numPr>
          <w:ilvl w:val="0"/>
          <w:numId w:val="19"/>
        </w:numPr>
        <w:tabs>
          <w:tab w:val="left" w:pos="567"/>
        </w:tabs>
        <w:spacing w:before="120" w:after="120"/>
        <w:ind w:left="0" w:firstLine="0"/>
        <w:rPr>
          <w:rFonts w:eastAsia="Malgun Gothic"/>
          <w:kern w:val="22"/>
          <w:szCs w:val="22"/>
          <w:lang w:val="fr-FR" w:eastAsia="fr-FR"/>
        </w:rPr>
      </w:pPr>
      <w:r w:rsidRPr="00D41406">
        <w:rPr>
          <w:rFonts w:eastAsia="Malgun Gothic"/>
          <w:kern w:val="22"/>
          <w:szCs w:val="22"/>
          <w:lang w:val="fr-FR" w:eastAsia="fr-FR"/>
        </w:rPr>
        <w:t>Sous l’autorité et avec le soutien de la Conférence des Parties,</w:t>
      </w:r>
      <w:r w:rsidR="002E2B83">
        <w:rPr>
          <w:rFonts w:eastAsia="Malgun Gothic"/>
          <w:kern w:val="22"/>
          <w:szCs w:val="22"/>
          <w:lang w:val="fr-FR" w:eastAsia="fr-FR"/>
        </w:rPr>
        <w:t xml:space="preserve"> la Secrétaire exécutive recrut</w:t>
      </w:r>
      <w:r w:rsidRPr="00D41406">
        <w:rPr>
          <w:rFonts w:eastAsia="Malgun Gothic"/>
          <w:kern w:val="22"/>
          <w:szCs w:val="22"/>
          <w:lang w:val="fr-FR" w:eastAsia="fr-FR"/>
        </w:rPr>
        <w:t xml:space="preserve">era sous contrat une équipe de trois ou cinq experts, </w:t>
      </w:r>
      <w:r w:rsidR="00090F22">
        <w:rPr>
          <w:rFonts w:eastAsia="Malgun Gothic"/>
          <w:kern w:val="22"/>
          <w:szCs w:val="22"/>
          <w:lang w:val="fr-FR" w:eastAsia="fr-FR"/>
        </w:rPr>
        <w:t xml:space="preserve">dans la limite des ressources disponibles, </w:t>
      </w:r>
      <w:r w:rsidRPr="00D41406">
        <w:rPr>
          <w:rFonts w:eastAsia="Malgun Gothic"/>
          <w:kern w:val="22"/>
          <w:szCs w:val="22"/>
          <w:lang w:val="fr-FR" w:eastAsia="fr-FR"/>
        </w:rPr>
        <w:t>comprenant une représentation égale de pays Parties en développement et de pays Parties développés et un provenant d’organisations internationales non gouvernementales, qui sera chargée d’établir un rapport sur l’évaluation détaillée des fonds nécessaires et disponibles pour l’application de la Convention durant la période allant de juillet 2022 à juin 2026 et ce, conformément à l’objectif et à la méthodologie décrits ci-dessus.</w:t>
      </w:r>
    </w:p>
    <w:p w14:paraId="17471AD7" w14:textId="77777777" w:rsidR="00D41406" w:rsidRPr="00D41406" w:rsidRDefault="00D41406" w:rsidP="00D41406">
      <w:pPr>
        <w:keepLines/>
        <w:numPr>
          <w:ilvl w:val="0"/>
          <w:numId w:val="19"/>
        </w:numPr>
        <w:tabs>
          <w:tab w:val="left" w:pos="567"/>
        </w:tabs>
        <w:spacing w:before="120" w:after="120"/>
        <w:ind w:left="0" w:firstLine="0"/>
        <w:rPr>
          <w:rFonts w:eastAsia="Malgun Gothic"/>
          <w:kern w:val="22"/>
          <w:szCs w:val="22"/>
          <w:lang w:val="fr-FR" w:eastAsia="fr-FR"/>
        </w:rPr>
      </w:pPr>
      <w:r w:rsidRPr="00D41406">
        <w:rPr>
          <w:rFonts w:eastAsia="Malgun Gothic"/>
          <w:kern w:val="22"/>
          <w:szCs w:val="22"/>
          <w:lang w:val="fr-FR" w:eastAsia="fr-FR"/>
        </w:rPr>
        <w:t>Dans l’établissement de son rapport d’évaluation, l’équipe d’experts devrait effectuer les entretiens, études, analyses quantitatives et qualitatives, et consultations nécessaires, y compris :</w:t>
      </w:r>
    </w:p>
    <w:p w14:paraId="1DDD74A9" w14:textId="77777777" w:rsidR="00D41406" w:rsidRPr="00D41406" w:rsidRDefault="00D41406" w:rsidP="00D41406">
      <w:pPr>
        <w:keepLines/>
        <w:numPr>
          <w:ilvl w:val="0"/>
          <w:numId w:val="22"/>
        </w:numPr>
        <w:spacing w:before="120" w:after="120"/>
        <w:ind w:left="0" w:firstLine="677"/>
        <w:rPr>
          <w:rFonts w:eastAsia="Malgun Gothic"/>
          <w:kern w:val="22"/>
          <w:szCs w:val="22"/>
          <w:lang w:val="fr-FR" w:eastAsia="fr-FR"/>
        </w:rPr>
      </w:pPr>
      <w:r w:rsidRPr="00D41406">
        <w:rPr>
          <w:rFonts w:eastAsia="Malgun Gothic"/>
          <w:kern w:val="22"/>
          <w:szCs w:val="22"/>
          <w:lang w:val="fr-FR" w:eastAsia="fr-FR"/>
        </w:rPr>
        <w:t>La compilation et l’analyse des besoins recensés dans les stratégies et plans d’action nationaux pour la diversité biologique, dont les stratégies de mobilisation de ressources propres à chaque pays qu’auront élaborées les Parties admissibles au FEM, en vertu de l’article 6 de la Convention ;</w:t>
      </w:r>
    </w:p>
    <w:p w14:paraId="53D146F8" w14:textId="0AB8059A" w:rsidR="00D41406" w:rsidRPr="00D41406" w:rsidRDefault="00526FF6" w:rsidP="00D41406">
      <w:pPr>
        <w:keepLines/>
        <w:numPr>
          <w:ilvl w:val="0"/>
          <w:numId w:val="22"/>
        </w:numPr>
        <w:spacing w:before="120" w:after="120"/>
        <w:ind w:left="0" w:firstLine="677"/>
        <w:rPr>
          <w:rFonts w:eastAsia="Malgun Gothic"/>
          <w:kern w:val="22"/>
          <w:szCs w:val="22"/>
          <w:lang w:val="fr-FR" w:eastAsia="fr-FR"/>
        </w:rPr>
      </w:pPr>
      <w:r>
        <w:rPr>
          <w:rFonts w:eastAsia="Malgun Gothic"/>
          <w:kern w:val="22"/>
          <w:szCs w:val="22"/>
          <w:lang w:val="fr-FR" w:eastAsia="fr-FR"/>
        </w:rPr>
        <w:t>L’examen des rapports présentés</w:t>
      </w:r>
      <w:r w:rsidR="00D41406" w:rsidRPr="00D41406">
        <w:rPr>
          <w:rFonts w:eastAsia="Malgun Gothic"/>
          <w:kern w:val="22"/>
          <w:szCs w:val="22"/>
          <w:lang w:val="fr-FR" w:eastAsia="fr-FR"/>
        </w:rPr>
        <w:t xml:space="preserve"> par les Parties en vertu de l’article 26 de la Convention afin d’identifier les fonds dont elles ont besoin pour s’acquitter de leurs obligations au titre de la Convention ;</w:t>
      </w:r>
    </w:p>
    <w:p w14:paraId="1E9C6E30" w14:textId="77777777" w:rsidR="00D41406" w:rsidRPr="00D41406" w:rsidRDefault="00D41406" w:rsidP="00D41406">
      <w:pPr>
        <w:keepLines/>
        <w:numPr>
          <w:ilvl w:val="0"/>
          <w:numId w:val="22"/>
        </w:numPr>
        <w:spacing w:before="120" w:after="120"/>
        <w:ind w:left="0" w:firstLine="677"/>
        <w:rPr>
          <w:rFonts w:eastAsia="Malgun Gothic"/>
          <w:kern w:val="22"/>
          <w:szCs w:val="22"/>
          <w:lang w:val="fr-FR" w:eastAsia="fr-FR"/>
        </w:rPr>
      </w:pPr>
      <w:r w:rsidRPr="00D41406">
        <w:rPr>
          <w:rFonts w:eastAsia="Malgun Gothic"/>
          <w:kern w:val="22"/>
          <w:szCs w:val="22"/>
          <w:lang w:val="fr-FR" w:eastAsia="fr-FR"/>
        </w:rPr>
        <w:t>Les incidences financières projetées des orientations données par la Conférence des Parties au mécanisme de financement ;</w:t>
      </w:r>
    </w:p>
    <w:p w14:paraId="723BF5F6" w14:textId="77777777" w:rsidR="00D41406" w:rsidRPr="00D41406" w:rsidRDefault="00D41406" w:rsidP="00D41406">
      <w:pPr>
        <w:keepLines/>
        <w:numPr>
          <w:ilvl w:val="0"/>
          <w:numId w:val="22"/>
        </w:numPr>
        <w:spacing w:before="120" w:after="120"/>
        <w:ind w:left="0" w:firstLine="677"/>
        <w:rPr>
          <w:rFonts w:eastAsia="Malgun Gothic"/>
          <w:kern w:val="22"/>
          <w:szCs w:val="22"/>
          <w:lang w:val="fr-FR" w:eastAsia="fr-FR"/>
        </w:rPr>
      </w:pPr>
      <w:r w:rsidRPr="00D41406">
        <w:rPr>
          <w:rFonts w:eastAsia="Malgun Gothic"/>
          <w:kern w:val="22"/>
          <w:szCs w:val="22"/>
          <w:lang w:val="fr-FR" w:eastAsia="fr-FR"/>
        </w:rPr>
        <w:t>L’expérience à ce jour de l’allocation de fonds par le mécanisme de financement pour chaque période de reconstitution ;</w:t>
      </w:r>
    </w:p>
    <w:p w14:paraId="0157C5FF" w14:textId="65DAE437" w:rsidR="00D41406" w:rsidRPr="00D41406" w:rsidRDefault="00D41406" w:rsidP="00D41406">
      <w:pPr>
        <w:keepLines/>
        <w:numPr>
          <w:ilvl w:val="0"/>
          <w:numId w:val="22"/>
        </w:numPr>
        <w:spacing w:before="120" w:after="120"/>
        <w:ind w:left="0" w:firstLine="677"/>
        <w:rPr>
          <w:rFonts w:eastAsia="Malgun Gothic"/>
          <w:kern w:val="22"/>
          <w:szCs w:val="22"/>
          <w:lang w:val="fr-FR" w:eastAsia="fr-FR"/>
        </w:rPr>
      </w:pPr>
      <w:r w:rsidRPr="00D41406">
        <w:rPr>
          <w:rFonts w:eastAsia="Malgun Gothic"/>
          <w:kern w:val="22"/>
          <w:szCs w:val="22"/>
          <w:lang w:val="fr-FR" w:eastAsia="fr-FR"/>
        </w:rPr>
        <w:t>La compilation et l’analyse de toutes les informations supplémentaires fournies par les Parties admissibles au FEM sur leurs besoins de financement pour qu’elles puissent s’acquitter de leurs obligations au ti</w:t>
      </w:r>
      <w:r w:rsidR="00526FF6">
        <w:rPr>
          <w:rFonts w:eastAsia="Malgun Gothic"/>
          <w:kern w:val="22"/>
          <w:szCs w:val="22"/>
          <w:lang w:val="fr-FR" w:eastAsia="fr-FR"/>
        </w:rPr>
        <w:t>tre de la Convention et de ses p</w:t>
      </w:r>
      <w:r w:rsidRPr="00D41406">
        <w:rPr>
          <w:rFonts w:eastAsia="Malgun Gothic"/>
          <w:kern w:val="22"/>
          <w:szCs w:val="22"/>
          <w:lang w:val="fr-FR" w:eastAsia="fr-FR"/>
        </w:rPr>
        <w:t>rotocoles.</w:t>
      </w:r>
    </w:p>
    <w:p w14:paraId="1F538335" w14:textId="04583DEE" w:rsidR="00D41406" w:rsidRPr="00D41406" w:rsidRDefault="007F0C46" w:rsidP="00D41406">
      <w:pPr>
        <w:keepLines/>
        <w:numPr>
          <w:ilvl w:val="0"/>
          <w:numId w:val="19"/>
        </w:numPr>
        <w:tabs>
          <w:tab w:val="left" w:pos="567"/>
        </w:tabs>
        <w:spacing w:before="120" w:after="120"/>
        <w:ind w:left="0" w:firstLine="0"/>
        <w:rPr>
          <w:rFonts w:eastAsia="Malgun Gothic"/>
          <w:kern w:val="22"/>
          <w:szCs w:val="22"/>
          <w:lang w:val="fr-FR" w:eastAsia="fr-FR"/>
        </w:rPr>
      </w:pPr>
      <w:r>
        <w:rPr>
          <w:rFonts w:eastAsia="Malgun Gothic"/>
          <w:kern w:val="22"/>
          <w:szCs w:val="22"/>
          <w:lang w:val="fr-FR" w:eastAsia="fr-FR"/>
        </w:rPr>
        <w:t xml:space="preserve">Le Fonds pour </w:t>
      </w:r>
      <w:r w:rsidR="00D41406" w:rsidRPr="00D41406">
        <w:rPr>
          <w:rFonts w:eastAsia="Malgun Gothic"/>
          <w:kern w:val="22"/>
          <w:szCs w:val="22"/>
          <w:lang w:val="fr-FR" w:eastAsia="fr-FR"/>
        </w:rPr>
        <w:t>l’environnement mondial e</w:t>
      </w:r>
      <w:r w:rsidR="00526FF6">
        <w:rPr>
          <w:rFonts w:eastAsia="Malgun Gothic"/>
          <w:kern w:val="22"/>
          <w:szCs w:val="22"/>
          <w:lang w:val="fr-FR" w:eastAsia="fr-FR"/>
        </w:rPr>
        <w:t>t la Secrétaire exécutive effectueront</w:t>
      </w:r>
      <w:r w:rsidR="00D41406" w:rsidRPr="00D41406">
        <w:rPr>
          <w:rFonts w:eastAsia="Malgun Gothic"/>
          <w:kern w:val="22"/>
          <w:szCs w:val="22"/>
          <w:lang w:val="fr-FR" w:eastAsia="fr-FR"/>
        </w:rPr>
        <w:t xml:space="preserve"> un examen des projets de rapports d’évaluation de l’équipe d’experts afin de garantir l’exactitude et la cohérence des données et de l’approche, tels que précisées dans le présent mandat.</w:t>
      </w:r>
    </w:p>
    <w:p w14:paraId="61DD4B3D" w14:textId="77777777" w:rsidR="00D41406" w:rsidRPr="00D41406" w:rsidRDefault="00D41406" w:rsidP="00D41406">
      <w:pPr>
        <w:keepLines/>
        <w:numPr>
          <w:ilvl w:val="0"/>
          <w:numId w:val="19"/>
        </w:numPr>
        <w:tabs>
          <w:tab w:val="left" w:pos="567"/>
        </w:tabs>
        <w:spacing w:before="120" w:after="120"/>
        <w:ind w:left="0" w:firstLine="0"/>
        <w:rPr>
          <w:rFonts w:eastAsia="Malgun Gothic"/>
          <w:kern w:val="22"/>
          <w:szCs w:val="22"/>
          <w:lang w:val="fr-FR" w:eastAsia="fr-FR"/>
        </w:rPr>
      </w:pPr>
      <w:r w:rsidRPr="00D41406">
        <w:rPr>
          <w:rFonts w:eastAsia="Malgun Gothic"/>
          <w:kern w:val="22"/>
          <w:szCs w:val="22"/>
          <w:lang w:val="fr-FR" w:eastAsia="fr-FR"/>
        </w:rPr>
        <w:t>La Secrétaire exécutive veillera à ce que le rapport d’évaluation de l’équipe d’experts soit distribué à toutes les Parties un mois avant la troisième réunion de l’Organe subsidiaire chargé de l’application.</w:t>
      </w:r>
    </w:p>
    <w:p w14:paraId="019C5757" w14:textId="79E63EAF" w:rsidR="00D41406" w:rsidRPr="00D41406" w:rsidRDefault="00D41406" w:rsidP="00D41406">
      <w:pPr>
        <w:keepLines/>
        <w:numPr>
          <w:ilvl w:val="0"/>
          <w:numId w:val="19"/>
        </w:numPr>
        <w:tabs>
          <w:tab w:val="left" w:pos="567"/>
        </w:tabs>
        <w:spacing w:before="120" w:after="120"/>
        <w:ind w:left="0" w:firstLine="0"/>
        <w:rPr>
          <w:rFonts w:eastAsia="Malgun Gothic"/>
          <w:kern w:val="22"/>
          <w:szCs w:val="22"/>
          <w:lang w:val="fr-FR" w:eastAsia="fr-FR"/>
        </w:rPr>
      </w:pPr>
      <w:r w:rsidRPr="00D41406">
        <w:rPr>
          <w:rFonts w:eastAsia="Malgun Gothic"/>
          <w:kern w:val="22"/>
          <w:szCs w:val="22"/>
          <w:lang w:val="fr-FR" w:eastAsia="fr-FR"/>
        </w:rPr>
        <w:lastRenderedPageBreak/>
        <w:t>L’Organe subsidiaire chargé de l’applica</w:t>
      </w:r>
      <w:r w:rsidR="00526FF6">
        <w:rPr>
          <w:rFonts w:eastAsia="Malgun Gothic"/>
          <w:kern w:val="22"/>
          <w:szCs w:val="22"/>
          <w:lang w:val="fr-FR" w:eastAsia="fr-FR"/>
        </w:rPr>
        <w:t>tion</w:t>
      </w:r>
      <w:r w:rsidRPr="00D41406">
        <w:rPr>
          <w:rFonts w:eastAsia="Malgun Gothic"/>
          <w:kern w:val="22"/>
          <w:szCs w:val="22"/>
          <w:lang w:val="fr-FR" w:eastAsia="fr-FR"/>
        </w:rPr>
        <w:t xml:space="preserve"> devrait examiner le rapport d’évaluation de l’équipe d’experts</w:t>
      </w:r>
      <w:r w:rsidR="00526FF6">
        <w:rPr>
          <w:rFonts w:eastAsia="Malgun Gothic"/>
          <w:kern w:val="22"/>
          <w:szCs w:val="22"/>
          <w:lang w:val="fr-FR" w:eastAsia="fr-FR"/>
        </w:rPr>
        <w:t xml:space="preserve"> à sa troisième réunion</w:t>
      </w:r>
      <w:r w:rsidRPr="00D41406">
        <w:rPr>
          <w:rFonts w:eastAsia="Malgun Gothic"/>
          <w:kern w:val="22"/>
          <w:szCs w:val="22"/>
          <w:lang w:val="fr-FR" w:eastAsia="fr-FR"/>
        </w:rPr>
        <w:t xml:space="preserve"> et faire des recommandations pour examen par la Conférence des Parties à sa quinzième réunion.</w:t>
      </w:r>
    </w:p>
    <w:p w14:paraId="65CF5D40" w14:textId="77777777" w:rsidR="00D41406" w:rsidRPr="00D41406" w:rsidRDefault="00D41406" w:rsidP="00D41406">
      <w:pPr>
        <w:keepLines/>
        <w:numPr>
          <w:ilvl w:val="0"/>
          <w:numId w:val="19"/>
        </w:numPr>
        <w:tabs>
          <w:tab w:val="left" w:pos="567"/>
        </w:tabs>
        <w:spacing w:before="120" w:after="120"/>
        <w:ind w:left="0" w:firstLine="0"/>
        <w:rPr>
          <w:rFonts w:eastAsia="Malgun Gothic"/>
          <w:kern w:val="22"/>
          <w:szCs w:val="22"/>
          <w:lang w:val="fr-FR" w:eastAsia="fr-FR"/>
        </w:rPr>
      </w:pPr>
      <w:r w:rsidRPr="00D41406">
        <w:rPr>
          <w:rFonts w:eastAsia="Malgun Gothic"/>
          <w:kern w:val="22"/>
          <w:szCs w:val="22"/>
          <w:lang w:val="fr-FR" w:eastAsia="fr-FR"/>
        </w:rPr>
        <w:t>À sa quinzième réunion, la Conférence des Parties prendra une décision sur l’évaluation du volume des fonds qui sont nécessaires pour l’application de la Convention et de ses Protocoles en vue de la huitième période de reconstitution du Fonds d’affectation spéciale du FEM auquel elle communiquera les résultats.</w:t>
      </w:r>
    </w:p>
    <w:p w14:paraId="5F394660" w14:textId="77777777" w:rsidR="00D41406" w:rsidRPr="00D41406" w:rsidRDefault="00D41406" w:rsidP="00D41406">
      <w:pPr>
        <w:keepLines/>
        <w:spacing w:before="120" w:after="120"/>
        <w:rPr>
          <w:rFonts w:eastAsia="Malgun Gothic"/>
          <w:b/>
          <w:bCs/>
          <w:kern w:val="22"/>
          <w:szCs w:val="22"/>
          <w:lang w:val="fr-FR" w:eastAsia="fr-FR"/>
        </w:rPr>
      </w:pPr>
      <w:r w:rsidRPr="00D41406">
        <w:rPr>
          <w:rFonts w:eastAsia="Malgun Gothic"/>
          <w:b/>
          <w:bCs/>
          <w:kern w:val="22"/>
          <w:szCs w:val="22"/>
          <w:lang w:val="fr-FR" w:eastAsia="fr-FR"/>
        </w:rPr>
        <w:t>Procédure de consultation</w:t>
      </w:r>
    </w:p>
    <w:p w14:paraId="25AEEF11" w14:textId="77777777" w:rsidR="00EB6597" w:rsidRDefault="00D41406" w:rsidP="00EB6597">
      <w:pPr>
        <w:keepLines/>
        <w:numPr>
          <w:ilvl w:val="0"/>
          <w:numId w:val="19"/>
        </w:numPr>
        <w:tabs>
          <w:tab w:val="left" w:pos="0"/>
        </w:tabs>
        <w:spacing w:before="120" w:after="120"/>
        <w:ind w:left="0" w:firstLine="0"/>
        <w:rPr>
          <w:rFonts w:eastAsia="Malgun Gothic"/>
          <w:kern w:val="22"/>
          <w:szCs w:val="22"/>
          <w:lang w:val="fr-FR" w:eastAsia="fr-FR"/>
        </w:rPr>
      </w:pPr>
      <w:r w:rsidRPr="00D41406">
        <w:rPr>
          <w:rFonts w:eastAsia="Malgun Gothic"/>
          <w:kern w:val="22"/>
          <w:szCs w:val="22"/>
          <w:lang w:val="fr-FR" w:eastAsia="fr-FR"/>
        </w:rPr>
        <w:t>Dans l’établissement du rapport d’évaluation, l’équipe d’experts devrait consulter à grande échelle toutes les personnes et institutions concernées ainsi que d’autres sources d’information jugées utiles.</w:t>
      </w:r>
    </w:p>
    <w:p w14:paraId="1B47A8A7" w14:textId="46A0EE3C" w:rsidR="00EB6597" w:rsidRDefault="00D41406" w:rsidP="00EB6597">
      <w:pPr>
        <w:keepLines/>
        <w:numPr>
          <w:ilvl w:val="0"/>
          <w:numId w:val="19"/>
        </w:numPr>
        <w:tabs>
          <w:tab w:val="left" w:pos="0"/>
        </w:tabs>
        <w:spacing w:before="120" w:after="120"/>
        <w:ind w:left="0" w:firstLine="0"/>
        <w:rPr>
          <w:rFonts w:eastAsia="Malgun Gothic"/>
          <w:kern w:val="22"/>
          <w:szCs w:val="22"/>
          <w:lang w:val="fr-FR" w:eastAsia="fr-FR"/>
        </w:rPr>
      </w:pPr>
      <w:r w:rsidRPr="00D41406">
        <w:rPr>
          <w:rFonts w:eastAsia="Malgun Gothic"/>
          <w:kern w:val="22"/>
          <w:szCs w:val="22"/>
          <w:lang w:val="fr-FR" w:eastAsia="fr-FR"/>
        </w:rPr>
        <w:t>L’équ</w:t>
      </w:r>
      <w:r w:rsidR="00526FF6">
        <w:rPr>
          <w:rFonts w:eastAsia="Malgun Gothic"/>
          <w:kern w:val="22"/>
          <w:szCs w:val="22"/>
          <w:lang w:val="fr-FR" w:eastAsia="fr-FR"/>
        </w:rPr>
        <w:t xml:space="preserve">ipe d’experts devrait élaborer </w:t>
      </w:r>
      <w:r w:rsidRPr="00D41406">
        <w:rPr>
          <w:rFonts w:eastAsia="Malgun Gothic"/>
          <w:kern w:val="22"/>
          <w:szCs w:val="22"/>
          <w:lang w:val="fr-FR" w:eastAsia="fr-FR"/>
        </w:rPr>
        <w:t>un questionnaire sur les besoins de financement pour la période allant de juillet 2022 à juin 2026</w:t>
      </w:r>
      <w:r w:rsidR="00526FF6" w:rsidRPr="00526FF6">
        <w:rPr>
          <w:rFonts w:eastAsia="Malgun Gothic"/>
          <w:kern w:val="22"/>
          <w:szCs w:val="22"/>
          <w:lang w:val="fr-FR" w:eastAsia="fr-FR"/>
        </w:rPr>
        <w:t xml:space="preserve"> </w:t>
      </w:r>
      <w:r w:rsidR="00526FF6" w:rsidRPr="00D41406">
        <w:rPr>
          <w:rFonts w:eastAsia="Malgun Gothic"/>
          <w:kern w:val="22"/>
          <w:szCs w:val="22"/>
          <w:lang w:val="fr-FR" w:eastAsia="fr-FR"/>
        </w:rPr>
        <w:t>en consultation avec le Secrétariat et le FEM</w:t>
      </w:r>
      <w:r w:rsidR="00F934BB">
        <w:rPr>
          <w:rFonts w:eastAsia="Malgun Gothic"/>
          <w:kern w:val="22"/>
          <w:szCs w:val="22"/>
          <w:lang w:val="fr-FR" w:eastAsia="fr-FR"/>
        </w:rPr>
        <w:t xml:space="preserve"> , le </w:t>
      </w:r>
      <w:r w:rsidRPr="00D41406">
        <w:rPr>
          <w:rFonts w:eastAsia="Malgun Gothic"/>
          <w:kern w:val="22"/>
          <w:szCs w:val="22"/>
          <w:lang w:val="fr-FR" w:eastAsia="fr-FR"/>
        </w:rPr>
        <w:t>distribuer à l'ensemble des pays en développement Parties et des Parties à économie en transition, e</w:t>
      </w:r>
      <w:r w:rsidR="00F934BB">
        <w:rPr>
          <w:rFonts w:eastAsia="Malgun Gothic"/>
          <w:kern w:val="22"/>
          <w:szCs w:val="22"/>
          <w:lang w:val="fr-FR" w:eastAsia="fr-FR"/>
        </w:rPr>
        <w:t>t en incorporer</w:t>
      </w:r>
      <w:r w:rsidRPr="00D41406">
        <w:rPr>
          <w:rFonts w:eastAsia="Malgun Gothic"/>
          <w:kern w:val="22"/>
          <w:szCs w:val="22"/>
          <w:lang w:val="fr-FR" w:eastAsia="fr-FR"/>
        </w:rPr>
        <w:t xml:space="preserve"> les résulta</w:t>
      </w:r>
      <w:r w:rsidR="00EB6597">
        <w:rPr>
          <w:rFonts w:eastAsia="Malgun Gothic"/>
          <w:kern w:val="22"/>
          <w:szCs w:val="22"/>
          <w:lang w:val="fr-FR" w:eastAsia="fr-FR"/>
        </w:rPr>
        <w:t>ts dans le rapport d’évaluation.</w:t>
      </w:r>
    </w:p>
    <w:p w14:paraId="78146573" w14:textId="5F9FFBC2" w:rsidR="00EB6597" w:rsidRDefault="00D41406" w:rsidP="00EB6597">
      <w:pPr>
        <w:keepLines/>
        <w:numPr>
          <w:ilvl w:val="0"/>
          <w:numId w:val="19"/>
        </w:numPr>
        <w:tabs>
          <w:tab w:val="left" w:pos="0"/>
        </w:tabs>
        <w:spacing w:before="120" w:after="120"/>
        <w:ind w:left="0" w:firstLine="0"/>
        <w:rPr>
          <w:rFonts w:eastAsia="Malgun Gothic"/>
          <w:kern w:val="22"/>
          <w:szCs w:val="22"/>
          <w:lang w:val="fr-FR" w:eastAsia="fr-FR"/>
        </w:rPr>
      </w:pPr>
      <w:r w:rsidRPr="00D41406">
        <w:rPr>
          <w:rFonts w:eastAsia="Malgun Gothic"/>
          <w:kern w:val="22"/>
          <w:szCs w:val="22"/>
          <w:lang w:val="fr-FR" w:eastAsia="fr-FR"/>
        </w:rPr>
        <w:t>Les entretiens et réunions de consultation devraient être organisés avec la participation des principales parties prenantes, y compris les grands groupes des Parties, le Secrétariat de la Co</w:t>
      </w:r>
      <w:r w:rsidR="00F934BB">
        <w:rPr>
          <w:rFonts w:eastAsia="Malgun Gothic"/>
          <w:kern w:val="22"/>
          <w:szCs w:val="22"/>
          <w:lang w:val="fr-FR" w:eastAsia="fr-FR"/>
        </w:rPr>
        <w:t>nvention ainsi que le s</w:t>
      </w:r>
      <w:r w:rsidRPr="00D41406">
        <w:rPr>
          <w:rFonts w:eastAsia="Malgun Gothic"/>
          <w:kern w:val="22"/>
          <w:szCs w:val="22"/>
          <w:lang w:val="fr-FR" w:eastAsia="fr-FR"/>
        </w:rPr>
        <w:t>ecrétariat, le Bureau indépendant d’évaluation et les agences d’exécution du FEM.</w:t>
      </w:r>
    </w:p>
    <w:p w14:paraId="123990AF" w14:textId="0FD025FA" w:rsidR="00EB6597" w:rsidRDefault="00D41406" w:rsidP="00EB6597">
      <w:pPr>
        <w:keepLines/>
        <w:numPr>
          <w:ilvl w:val="0"/>
          <w:numId w:val="19"/>
        </w:numPr>
        <w:tabs>
          <w:tab w:val="left" w:pos="0"/>
        </w:tabs>
        <w:spacing w:before="120" w:after="120"/>
        <w:ind w:left="0" w:firstLine="0"/>
        <w:rPr>
          <w:rFonts w:eastAsia="Malgun Gothic"/>
          <w:kern w:val="22"/>
          <w:szCs w:val="22"/>
          <w:lang w:val="fr-FR" w:eastAsia="fr-FR"/>
        </w:rPr>
      </w:pPr>
      <w:r w:rsidRPr="00D41406">
        <w:rPr>
          <w:rFonts w:eastAsia="Malgun Gothic"/>
          <w:kern w:val="22"/>
          <w:szCs w:val="22"/>
          <w:lang w:val="fr-FR" w:eastAsia="fr-FR"/>
        </w:rPr>
        <w:t>L’équipe d’experts devrait, dans la mesure du possible, s’efforcer d’engager des c</w:t>
      </w:r>
      <w:r w:rsidR="00EB6597" w:rsidRPr="00EB6597">
        <w:rPr>
          <w:rFonts w:eastAsia="Malgun Gothic"/>
          <w:kern w:val="22"/>
          <w:szCs w:val="22"/>
          <w:lang w:val="fr-FR" w:eastAsia="fr-FR"/>
        </w:rPr>
        <w:t>onsultations régionales et infra</w:t>
      </w:r>
      <w:r w:rsidRPr="00D41406">
        <w:rPr>
          <w:rFonts w:eastAsia="Malgun Gothic"/>
          <w:kern w:val="22"/>
          <w:szCs w:val="22"/>
          <w:lang w:val="fr-FR" w:eastAsia="fr-FR"/>
        </w:rPr>
        <w:t xml:space="preserve">régionales, </w:t>
      </w:r>
      <w:r w:rsidR="00F934BB">
        <w:rPr>
          <w:rFonts w:eastAsia="Malgun Gothic"/>
          <w:kern w:val="22"/>
          <w:szCs w:val="22"/>
          <w:lang w:val="fr-FR" w:eastAsia="fr-FR"/>
        </w:rPr>
        <w:t xml:space="preserve">en </w:t>
      </w:r>
      <w:r w:rsidRPr="00D41406">
        <w:rPr>
          <w:rFonts w:eastAsia="Malgun Gothic"/>
          <w:kern w:val="22"/>
          <w:szCs w:val="22"/>
          <w:lang w:val="fr-FR" w:eastAsia="fr-FR"/>
        </w:rPr>
        <w:t>tirant parti</w:t>
      </w:r>
      <w:r w:rsidR="00EB6597" w:rsidRPr="00EB6597">
        <w:rPr>
          <w:rFonts w:eastAsia="Malgun Gothic"/>
          <w:kern w:val="22"/>
          <w:szCs w:val="22"/>
          <w:lang w:val="fr-FR" w:eastAsia="fr-FR"/>
        </w:rPr>
        <w:t xml:space="preserve"> des ateliers régionaux et infra</w:t>
      </w:r>
      <w:r w:rsidRPr="00D41406">
        <w:rPr>
          <w:rFonts w:eastAsia="Malgun Gothic"/>
          <w:kern w:val="22"/>
          <w:szCs w:val="22"/>
          <w:lang w:val="fr-FR" w:eastAsia="fr-FR"/>
        </w:rPr>
        <w:t>régionaux organisés par les secrétariats de la Convention et du Fonds pour l’environnement mondial durant la période d’étude.</w:t>
      </w:r>
    </w:p>
    <w:p w14:paraId="53C85CE7" w14:textId="50E919EA" w:rsidR="00EB6597" w:rsidRDefault="00D41406" w:rsidP="00EB6597">
      <w:pPr>
        <w:keepLines/>
        <w:numPr>
          <w:ilvl w:val="0"/>
          <w:numId w:val="19"/>
        </w:numPr>
        <w:tabs>
          <w:tab w:val="left" w:pos="0"/>
        </w:tabs>
        <w:spacing w:before="120" w:after="120"/>
        <w:ind w:left="0" w:firstLine="0"/>
        <w:rPr>
          <w:rFonts w:eastAsia="Malgun Gothic"/>
          <w:kern w:val="22"/>
          <w:szCs w:val="22"/>
          <w:lang w:val="fr-FR" w:eastAsia="fr-FR"/>
        </w:rPr>
      </w:pPr>
      <w:r w:rsidRPr="00D41406">
        <w:rPr>
          <w:rFonts w:eastAsia="Malgun Gothic"/>
          <w:kern w:val="22"/>
          <w:szCs w:val="22"/>
          <w:lang w:val="fr-FR" w:eastAsia="fr-FR"/>
        </w:rPr>
        <w:t>Les méthodes d’évaluation des fonds nécessaires et disponibles pour l’applicat</w:t>
      </w:r>
      <w:r w:rsidR="00F934BB">
        <w:rPr>
          <w:rFonts w:eastAsia="Malgun Gothic"/>
          <w:kern w:val="22"/>
          <w:szCs w:val="22"/>
          <w:lang w:val="fr-FR" w:eastAsia="fr-FR"/>
        </w:rPr>
        <w:t>ion de la Convention et de ses p</w:t>
      </w:r>
      <w:r w:rsidRPr="00D41406">
        <w:rPr>
          <w:rFonts w:eastAsia="Malgun Gothic"/>
          <w:kern w:val="22"/>
          <w:szCs w:val="22"/>
          <w:lang w:val="fr-FR" w:eastAsia="fr-FR"/>
        </w:rPr>
        <w:t>rotocoles devraient être transparentes, fiables et reproductibles, et justifier clairement les coûts marginaux conformément au paragraphe 2 de l’article 20, en tenant compte des informations rassemblées par d’autres fonds internationaux au service des conventions et des informations soumises par les Parties sur l’application du concept de coûts marginaux de même que les règles et lignes directrices du Fonds pour l’environnement mondial en vigueur, telles qu’approuvées par le Conseil du Fonds pour l’environnement mondial.</w:t>
      </w:r>
    </w:p>
    <w:p w14:paraId="099077DD" w14:textId="09BB08E8" w:rsidR="00EB6597" w:rsidRDefault="00D41406" w:rsidP="00EB6597">
      <w:pPr>
        <w:keepLines/>
        <w:numPr>
          <w:ilvl w:val="0"/>
          <w:numId w:val="19"/>
        </w:numPr>
        <w:tabs>
          <w:tab w:val="left" w:pos="0"/>
        </w:tabs>
        <w:spacing w:before="120" w:after="120"/>
        <w:ind w:left="0" w:firstLine="0"/>
        <w:rPr>
          <w:rFonts w:eastAsia="Malgun Gothic"/>
          <w:kern w:val="22"/>
          <w:szCs w:val="22"/>
          <w:lang w:val="fr-FR" w:eastAsia="fr-FR"/>
        </w:rPr>
      </w:pPr>
      <w:r w:rsidRPr="00D41406">
        <w:rPr>
          <w:rFonts w:eastAsia="Malgun Gothic"/>
          <w:kern w:val="22"/>
          <w:szCs w:val="22"/>
          <w:lang w:val="fr-FR" w:eastAsia="fr-FR"/>
        </w:rPr>
        <w:t>Sur la base de l'expérience acquise dans l'élaboration du rapport d'évaluation des besoins actuel</w:t>
      </w:r>
      <w:r w:rsidR="00F934BB">
        <w:rPr>
          <w:rFonts w:eastAsia="Malgun Gothic"/>
          <w:kern w:val="22"/>
          <w:szCs w:val="22"/>
          <w:lang w:val="fr-FR" w:eastAsia="fr-FR"/>
        </w:rPr>
        <w:t>s, l'équipe d'experts formulera</w:t>
      </w:r>
      <w:r w:rsidRPr="00D41406">
        <w:rPr>
          <w:rFonts w:eastAsia="Malgun Gothic"/>
          <w:kern w:val="22"/>
          <w:szCs w:val="22"/>
          <w:lang w:val="fr-FR" w:eastAsia="fr-FR"/>
        </w:rPr>
        <w:t xml:space="preserve"> des recommandations à la Secrétaire exécutive quant aux éléments et modalités d'un système en ligne permettant de faciliter les communications entre les Parties concernées pour les futures évaluations des besoins.</w:t>
      </w:r>
    </w:p>
    <w:p w14:paraId="1122E25F" w14:textId="1953A9DA" w:rsidR="00427D21" w:rsidRDefault="00D41406" w:rsidP="00EB6597">
      <w:pPr>
        <w:keepLines/>
        <w:numPr>
          <w:ilvl w:val="0"/>
          <w:numId w:val="19"/>
        </w:numPr>
        <w:tabs>
          <w:tab w:val="left" w:pos="0"/>
        </w:tabs>
        <w:spacing w:before="120" w:after="120"/>
        <w:ind w:left="0" w:firstLine="0"/>
        <w:rPr>
          <w:rFonts w:eastAsia="Malgun Gothic"/>
          <w:kern w:val="22"/>
          <w:szCs w:val="22"/>
          <w:lang w:val="fr-FR" w:eastAsia="fr-FR"/>
        </w:rPr>
      </w:pPr>
      <w:r w:rsidRPr="00D41406">
        <w:rPr>
          <w:rFonts w:eastAsia="Malgun Gothic"/>
          <w:kern w:val="22"/>
          <w:szCs w:val="22"/>
          <w:lang w:val="fr-FR" w:eastAsia="fr-FR"/>
        </w:rPr>
        <w:t>L’équip</w:t>
      </w:r>
      <w:r w:rsidR="00F934BB">
        <w:rPr>
          <w:rFonts w:eastAsia="Malgun Gothic"/>
          <w:kern w:val="22"/>
          <w:szCs w:val="22"/>
          <w:lang w:val="fr-FR" w:eastAsia="fr-FR"/>
        </w:rPr>
        <w:t>e d’experts devrait examiner toutes</w:t>
      </w:r>
      <w:r w:rsidRPr="00D41406">
        <w:rPr>
          <w:rFonts w:eastAsia="Malgun Gothic"/>
          <w:kern w:val="22"/>
          <w:szCs w:val="22"/>
          <w:lang w:val="fr-FR" w:eastAsia="fr-FR"/>
        </w:rPr>
        <w:t xml:space="preserve"> questions additionnelles qui pourraient être soulevées par l’Organe subsidiaire chargé de l’application pendant son</w:t>
      </w:r>
      <w:r w:rsidR="00F934BB">
        <w:rPr>
          <w:rFonts w:eastAsia="Malgun Gothic"/>
          <w:kern w:val="22"/>
          <w:szCs w:val="22"/>
          <w:lang w:val="fr-FR" w:eastAsia="fr-FR"/>
        </w:rPr>
        <w:t xml:space="preserve"> examen du rapport d’évaluation</w:t>
      </w:r>
      <w:r w:rsidRPr="00D41406">
        <w:rPr>
          <w:rFonts w:eastAsia="Malgun Gothic"/>
          <w:kern w:val="22"/>
          <w:szCs w:val="22"/>
          <w:lang w:val="fr-FR" w:eastAsia="fr-FR"/>
        </w:rPr>
        <w:t xml:space="preserve"> à sa troisième réunion.</w:t>
      </w:r>
    </w:p>
    <w:p w14:paraId="5D300817" w14:textId="77777777" w:rsidR="00EB6597" w:rsidRPr="00EB6597" w:rsidRDefault="00EB6597" w:rsidP="00EB6597">
      <w:pPr>
        <w:keepLines/>
        <w:tabs>
          <w:tab w:val="left" w:pos="0"/>
        </w:tabs>
        <w:spacing w:before="120" w:after="120"/>
        <w:rPr>
          <w:rFonts w:eastAsia="Malgun Gothic"/>
          <w:kern w:val="22"/>
          <w:szCs w:val="22"/>
          <w:lang w:val="fr-FR" w:eastAsia="fr-FR"/>
        </w:rPr>
      </w:pPr>
    </w:p>
    <w:p w14:paraId="02531827" w14:textId="412EFAB4" w:rsidR="00C9161D" w:rsidRPr="00DB706B" w:rsidRDefault="00C9161D" w:rsidP="00C9161D">
      <w:pPr>
        <w:jc w:val="center"/>
        <w:rPr>
          <w:kern w:val="22"/>
          <w:szCs w:val="22"/>
        </w:rPr>
      </w:pPr>
      <w:r w:rsidRPr="00DB706B">
        <w:rPr>
          <w:kern w:val="22"/>
          <w:szCs w:val="22"/>
        </w:rPr>
        <w:t>______</w:t>
      </w:r>
      <w:r w:rsidR="00CA6920">
        <w:rPr>
          <w:kern w:val="22"/>
          <w:szCs w:val="22"/>
        </w:rPr>
        <w:t>____</w:t>
      </w:r>
    </w:p>
    <w:p w14:paraId="48D24824" w14:textId="77777777" w:rsidR="00B3369F" w:rsidRPr="00DB706B" w:rsidRDefault="00B3369F" w:rsidP="00C9161D">
      <w:pPr>
        <w:rPr>
          <w:kern w:val="22"/>
          <w:szCs w:val="22"/>
        </w:rPr>
      </w:pPr>
    </w:p>
    <w:sectPr w:rsidR="00B3369F" w:rsidRPr="00DB706B" w:rsidSect="009C200D">
      <w:headerReference w:type="even" r:id="rId14"/>
      <w:headerReference w:type="default" r:id="rId15"/>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F00AE" w14:textId="77777777" w:rsidR="00C2164C" w:rsidRDefault="00C2164C" w:rsidP="00CF1848">
      <w:r>
        <w:separator/>
      </w:r>
    </w:p>
  </w:endnote>
  <w:endnote w:type="continuationSeparator" w:id="0">
    <w:p w14:paraId="4562BB24" w14:textId="77777777" w:rsidR="00C2164C" w:rsidRDefault="00C2164C"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6B169" w14:textId="77777777" w:rsidR="00C2164C" w:rsidRDefault="00C2164C" w:rsidP="00CF1848">
      <w:r>
        <w:separator/>
      </w:r>
    </w:p>
  </w:footnote>
  <w:footnote w:type="continuationSeparator" w:id="0">
    <w:p w14:paraId="28F432BB" w14:textId="77777777" w:rsidR="00C2164C" w:rsidRDefault="00C2164C" w:rsidP="00CF1848">
      <w:r>
        <w:continuationSeparator/>
      </w:r>
    </w:p>
  </w:footnote>
  <w:footnote w:id="1">
    <w:p w14:paraId="0CEC44F9" w14:textId="77777777" w:rsidR="00D41406" w:rsidRPr="00D41406" w:rsidRDefault="00D41406" w:rsidP="00D41406">
      <w:pPr>
        <w:pStyle w:val="FootnoteText"/>
        <w:ind w:firstLine="0"/>
        <w:rPr>
          <w:lang w:val="fr-FR"/>
        </w:rPr>
      </w:pPr>
      <w:r>
        <w:rPr>
          <w:rStyle w:val="FootnoteReference"/>
        </w:rPr>
        <w:footnoteRef/>
      </w:r>
      <w:r w:rsidRPr="00D41406">
        <w:rPr>
          <w:lang w:val="fr-FR"/>
        </w:rPr>
        <w:t xml:space="preserve"> CBD/COP/14/7.</w:t>
      </w:r>
    </w:p>
  </w:footnote>
  <w:footnote w:id="2">
    <w:p w14:paraId="5F1EAEF1" w14:textId="77777777" w:rsidR="00D41406" w:rsidRPr="00D41406" w:rsidRDefault="00D41406" w:rsidP="00D41406">
      <w:pPr>
        <w:pStyle w:val="FootnoteText"/>
        <w:ind w:firstLine="0"/>
        <w:rPr>
          <w:kern w:val="18"/>
          <w:szCs w:val="18"/>
          <w:lang w:val="fr-FR"/>
        </w:rPr>
      </w:pPr>
      <w:r>
        <w:rPr>
          <w:rStyle w:val="FootnoteReference"/>
          <w:kern w:val="18"/>
          <w:szCs w:val="18"/>
        </w:rPr>
        <w:footnoteRef/>
      </w:r>
      <w:r w:rsidRPr="00D41406">
        <w:rPr>
          <w:kern w:val="18"/>
          <w:szCs w:val="18"/>
          <w:lang w:val="fr-FR"/>
        </w:rPr>
        <w:t xml:space="preserve"> CBD/COP/14/8.</w:t>
      </w:r>
    </w:p>
  </w:footnote>
  <w:footnote w:id="3">
    <w:p w14:paraId="372A2D04" w14:textId="77777777" w:rsidR="00D41406" w:rsidRPr="00D41406" w:rsidRDefault="00D41406" w:rsidP="00D41406">
      <w:pPr>
        <w:pStyle w:val="FootnoteText"/>
        <w:kinsoku w:val="0"/>
        <w:overflowPunct w:val="0"/>
        <w:autoSpaceDE w:val="0"/>
        <w:autoSpaceDN w:val="0"/>
        <w:adjustRightInd w:val="0"/>
        <w:snapToGrid w:val="0"/>
        <w:ind w:firstLine="0"/>
        <w:rPr>
          <w:szCs w:val="18"/>
          <w:lang w:val="fr-FR"/>
        </w:rPr>
      </w:pPr>
      <w:r>
        <w:rPr>
          <w:rStyle w:val="FootnoteReference"/>
          <w:szCs w:val="18"/>
        </w:rPr>
        <w:footnoteRef/>
      </w:r>
      <w:r w:rsidRPr="00D41406">
        <w:rPr>
          <w:szCs w:val="18"/>
          <w:lang w:val="fr-FR"/>
        </w:rPr>
        <w:t xml:space="preserve"> Voir décision XIII/21.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CA"/>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10479388" w:rsidR="00534681" w:rsidRPr="00FF7B1D" w:rsidRDefault="00E072FE" w:rsidP="00534681">
        <w:pPr>
          <w:pStyle w:val="Header"/>
          <w:rPr>
            <w:lang w:val="en-CA"/>
          </w:rPr>
        </w:pPr>
        <w:r>
          <w:t>CBD/COP/DEC/14/23</w:t>
        </w:r>
      </w:p>
    </w:sdtContent>
  </w:sdt>
  <w:p w14:paraId="57597240" w14:textId="49874532" w:rsidR="00534681" w:rsidRPr="00000614" w:rsidRDefault="00534681" w:rsidP="00534681">
    <w:pPr>
      <w:pStyle w:val="Header"/>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3424EE">
      <w:rPr>
        <w:noProof/>
        <w:lang w:val="fr-FR"/>
      </w:rPr>
      <w:t>2</w:t>
    </w:r>
    <w:r>
      <w:rPr>
        <w:noProof/>
      </w:rPr>
      <w:fldChar w:fldCharType="end"/>
    </w:r>
  </w:p>
  <w:p w14:paraId="1D80EB20" w14:textId="77777777" w:rsidR="00534681" w:rsidRPr="00000614" w:rsidRDefault="00534681">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CA"/>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498483F9" w:rsidR="009505C9" w:rsidRPr="00FF7B1D" w:rsidRDefault="00E072FE" w:rsidP="009505C9">
        <w:pPr>
          <w:pStyle w:val="Header"/>
          <w:jc w:val="right"/>
          <w:rPr>
            <w:lang w:val="en-CA"/>
          </w:rPr>
        </w:pPr>
        <w:r>
          <w:t>CBD/COP/DEC/14/23</w:t>
        </w:r>
      </w:p>
    </w:sdtContent>
  </w:sdt>
  <w:p w14:paraId="7E9B8683" w14:textId="2AAA87C1" w:rsidR="009505C9" w:rsidRPr="00000614" w:rsidRDefault="009505C9"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3424EE">
      <w:rPr>
        <w:noProof/>
        <w:lang w:val="fr-FR"/>
      </w:rPr>
      <w:t>5</w:t>
    </w:r>
    <w:r>
      <w:rPr>
        <w:noProof/>
      </w:rPr>
      <w:fldChar w:fldCharType="end"/>
    </w:r>
  </w:p>
  <w:p w14:paraId="2F845650" w14:textId="77777777" w:rsidR="009505C9" w:rsidRPr="00000614" w:rsidRDefault="009505C9">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7084C39"/>
    <w:multiLevelType w:val="hybridMultilevel"/>
    <w:tmpl w:val="5C5CD3CA"/>
    <w:lvl w:ilvl="0" w:tplc="0C090017">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28A4E47"/>
    <w:multiLevelType w:val="hybridMultilevel"/>
    <w:tmpl w:val="ADAAFFBE"/>
    <w:lvl w:ilvl="0" w:tplc="0C090017">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7"/>
  </w:num>
  <w:num w:numId="5">
    <w:abstractNumId w:val="6"/>
  </w:num>
  <w:num w:numId="6">
    <w:abstractNumId w:val="0"/>
  </w:num>
  <w:num w:numId="7">
    <w:abstractNumId w:val="2"/>
  </w:num>
  <w:num w:numId="8">
    <w:abstractNumId w:val="4"/>
    <w:lvlOverride w:ilvl="0">
      <w:startOverride w:val="1"/>
    </w:lvlOverride>
  </w:num>
  <w:num w:numId="9">
    <w:abstractNumId w:val="12"/>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10"/>
  </w:num>
  <w:num w:numId="15">
    <w:abstractNumId w:val="9"/>
  </w:num>
  <w:num w:numId="16">
    <w:abstractNumId w:val="1"/>
  </w:num>
  <w:num w:numId="17">
    <w:abstractNumId w:val="13"/>
  </w:num>
  <w:num w:numId="18">
    <w:abstractNumId w:val="14"/>
  </w:num>
  <w:num w:numId="19">
    <w:abstractNumId w:val="11"/>
  </w:num>
  <w:num w:numId="20">
    <w:abstractNumId w:val="11"/>
    <w:lvlOverride w:ilvl="0">
      <w:startOverride w:val="1"/>
    </w:lvlOverride>
  </w:num>
  <w:num w:numId="21">
    <w:abstractNumId w:val="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614"/>
    <w:rsid w:val="000371DF"/>
    <w:rsid w:val="00076C8E"/>
    <w:rsid w:val="00090F22"/>
    <w:rsid w:val="000B6F3D"/>
    <w:rsid w:val="000E673A"/>
    <w:rsid w:val="000F74F5"/>
    <w:rsid w:val="00100AFF"/>
    <w:rsid w:val="00105372"/>
    <w:rsid w:val="0011664D"/>
    <w:rsid w:val="0012430A"/>
    <w:rsid w:val="00131E7A"/>
    <w:rsid w:val="001441BD"/>
    <w:rsid w:val="001461D4"/>
    <w:rsid w:val="00172AF6"/>
    <w:rsid w:val="00176CEE"/>
    <w:rsid w:val="001C547C"/>
    <w:rsid w:val="001D357E"/>
    <w:rsid w:val="001F186B"/>
    <w:rsid w:val="002B370F"/>
    <w:rsid w:val="002B64AD"/>
    <w:rsid w:val="002D1454"/>
    <w:rsid w:val="002E2B83"/>
    <w:rsid w:val="003424EE"/>
    <w:rsid w:val="003477AB"/>
    <w:rsid w:val="00372F74"/>
    <w:rsid w:val="003A446D"/>
    <w:rsid w:val="003F7224"/>
    <w:rsid w:val="00405146"/>
    <w:rsid w:val="0042412C"/>
    <w:rsid w:val="00427D21"/>
    <w:rsid w:val="00427F90"/>
    <w:rsid w:val="00434AB8"/>
    <w:rsid w:val="00453AFC"/>
    <w:rsid w:val="004644C2"/>
    <w:rsid w:val="00467F9C"/>
    <w:rsid w:val="004B010E"/>
    <w:rsid w:val="004E13D4"/>
    <w:rsid w:val="004F7248"/>
    <w:rsid w:val="0050207B"/>
    <w:rsid w:val="00526FF6"/>
    <w:rsid w:val="00534681"/>
    <w:rsid w:val="005C10DC"/>
    <w:rsid w:val="005F0D45"/>
    <w:rsid w:val="006001AE"/>
    <w:rsid w:val="00600C79"/>
    <w:rsid w:val="006122BA"/>
    <w:rsid w:val="0061445E"/>
    <w:rsid w:val="0063242F"/>
    <w:rsid w:val="00655A36"/>
    <w:rsid w:val="00684744"/>
    <w:rsid w:val="006B2290"/>
    <w:rsid w:val="006E2FCB"/>
    <w:rsid w:val="00717D88"/>
    <w:rsid w:val="00784F05"/>
    <w:rsid w:val="007942D3"/>
    <w:rsid w:val="007B6C09"/>
    <w:rsid w:val="007E09DA"/>
    <w:rsid w:val="007F0C46"/>
    <w:rsid w:val="00803235"/>
    <w:rsid w:val="008056D3"/>
    <w:rsid w:val="008178B6"/>
    <w:rsid w:val="00840264"/>
    <w:rsid w:val="00865B74"/>
    <w:rsid w:val="008910E0"/>
    <w:rsid w:val="00930BA1"/>
    <w:rsid w:val="0093169E"/>
    <w:rsid w:val="009505C9"/>
    <w:rsid w:val="00963FF9"/>
    <w:rsid w:val="009A0616"/>
    <w:rsid w:val="009C200D"/>
    <w:rsid w:val="00A4145D"/>
    <w:rsid w:val="00A811C7"/>
    <w:rsid w:val="00A94CA8"/>
    <w:rsid w:val="00AE7A2E"/>
    <w:rsid w:val="00B05A94"/>
    <w:rsid w:val="00B3369F"/>
    <w:rsid w:val="00BC5B0F"/>
    <w:rsid w:val="00C024C5"/>
    <w:rsid w:val="00C1197D"/>
    <w:rsid w:val="00C2164C"/>
    <w:rsid w:val="00C859EF"/>
    <w:rsid w:val="00C9161D"/>
    <w:rsid w:val="00CA6920"/>
    <w:rsid w:val="00CD7566"/>
    <w:rsid w:val="00CF1848"/>
    <w:rsid w:val="00D1041A"/>
    <w:rsid w:val="00D12044"/>
    <w:rsid w:val="00D41406"/>
    <w:rsid w:val="00D76A18"/>
    <w:rsid w:val="00DB706B"/>
    <w:rsid w:val="00DD08E9"/>
    <w:rsid w:val="00DD118C"/>
    <w:rsid w:val="00DD4819"/>
    <w:rsid w:val="00E040B3"/>
    <w:rsid w:val="00E072FE"/>
    <w:rsid w:val="00E50F5E"/>
    <w:rsid w:val="00E5767B"/>
    <w:rsid w:val="00E6445C"/>
    <w:rsid w:val="00E66235"/>
    <w:rsid w:val="00E83C24"/>
    <w:rsid w:val="00E9318D"/>
    <w:rsid w:val="00EA1388"/>
    <w:rsid w:val="00EB6597"/>
    <w:rsid w:val="00EC4F71"/>
    <w:rsid w:val="00F537A0"/>
    <w:rsid w:val="00F934BB"/>
    <w:rsid w:val="00F94774"/>
    <w:rsid w:val="00FB3156"/>
    <w:rsid w:val="00FC53DB"/>
    <w:rsid w:val="00FE1EA8"/>
    <w:rsid w:val="00FF7B1D"/>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6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uiPriority w:val="99"/>
    <w:semiHidden/>
    <w:rsid w:val="007E09DA"/>
    <w:pPr>
      <w:spacing w:after="120" w:line="240" w:lineRule="exact"/>
    </w:pPr>
  </w:style>
  <w:style w:type="character" w:customStyle="1" w:styleId="CommentTextChar">
    <w:name w:val="Comment Text Char"/>
    <w:basedOn w:val="DefaultParagraphFont"/>
    <w:link w:val="CommentText"/>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CBD-Para-1">
    <w:name w:val="CBD-Para-1"/>
    <w:basedOn w:val="Normal"/>
    <w:qFormat/>
    <w:rsid w:val="005F0D45"/>
    <w:pPr>
      <w:keepLines/>
      <w:numPr>
        <w:numId w:val="19"/>
      </w:numPr>
      <w:spacing w:before="120" w:after="120"/>
    </w:pPr>
    <w:rPr>
      <w:rFonts w:eastAsia="Malgun Gothic"/>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5F0D45"/>
    <w:pPr>
      <w:spacing w:after="160" w:line="240" w:lineRule="exact"/>
    </w:pPr>
    <w:rPr>
      <w:rFonts w:asciiTheme="minorHAnsi" w:eastAsiaTheme="minorEastAsia" w:hAnsiTheme="minorHAnsi" w:cstheme="minorBidi"/>
      <w:vertAlign w:val="superscript"/>
      <w:lang w:val="fr-CA"/>
    </w:rPr>
  </w:style>
  <w:style w:type="paragraph" w:styleId="CommentSubject">
    <w:name w:val="annotation subject"/>
    <w:basedOn w:val="CommentText"/>
    <w:next w:val="CommentText"/>
    <w:link w:val="CommentSubjectChar"/>
    <w:uiPriority w:val="99"/>
    <w:semiHidden/>
    <w:unhideWhenUsed/>
    <w:rsid w:val="004E13D4"/>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4E13D4"/>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uiPriority w:val="99"/>
    <w:semiHidden/>
    <w:rsid w:val="007E09DA"/>
    <w:pPr>
      <w:spacing w:after="120" w:line="240" w:lineRule="exact"/>
    </w:pPr>
  </w:style>
  <w:style w:type="character" w:customStyle="1" w:styleId="CommentTextChar">
    <w:name w:val="Comment Text Char"/>
    <w:basedOn w:val="DefaultParagraphFont"/>
    <w:link w:val="CommentText"/>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CBD-Para-1">
    <w:name w:val="CBD-Para-1"/>
    <w:basedOn w:val="Normal"/>
    <w:qFormat/>
    <w:rsid w:val="005F0D45"/>
    <w:pPr>
      <w:keepLines/>
      <w:numPr>
        <w:numId w:val="19"/>
      </w:numPr>
      <w:spacing w:before="120" w:after="120"/>
    </w:pPr>
    <w:rPr>
      <w:rFonts w:eastAsia="Malgun Gothic"/>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5F0D45"/>
    <w:pPr>
      <w:spacing w:after="160" w:line="240" w:lineRule="exact"/>
    </w:pPr>
    <w:rPr>
      <w:rFonts w:asciiTheme="minorHAnsi" w:eastAsiaTheme="minorEastAsia" w:hAnsiTheme="minorHAnsi" w:cstheme="minorBidi"/>
      <w:vertAlign w:val="superscript"/>
      <w:lang w:val="fr-CA"/>
    </w:rPr>
  </w:style>
  <w:style w:type="paragraph" w:styleId="CommentSubject">
    <w:name w:val="annotation subject"/>
    <w:basedOn w:val="CommentText"/>
    <w:next w:val="CommentText"/>
    <w:link w:val="CommentSubjectChar"/>
    <w:uiPriority w:val="99"/>
    <w:semiHidden/>
    <w:unhideWhenUsed/>
    <w:rsid w:val="004E13D4"/>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4E13D4"/>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bd.int/decisions/?m=cop-03&amp;n=08"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B1CBD48DA4154DD289E450B302A7C7A0"/>
        <w:category>
          <w:name w:val="General"/>
          <w:gallery w:val="placeholder"/>
        </w:category>
        <w:types>
          <w:type w:val="bbPlcHdr"/>
        </w:types>
        <w:behaviors>
          <w:behavior w:val="content"/>
        </w:behaviors>
        <w:guid w:val="{BD84B016-8E26-46E5-8545-F435DA651BBB}"/>
      </w:docPartPr>
      <w:docPartBody>
        <w:p w:rsidR="00350CBC" w:rsidRDefault="00024BA2" w:rsidP="00024BA2">
          <w:pPr>
            <w:pStyle w:val="B1CBD48DA4154DD289E450B302A7C7A0"/>
          </w:pPr>
          <w:r w:rsidRPr="007E02EB">
            <w:rPr>
              <w:rStyle w:val="PlaceholderText"/>
            </w:rPr>
            <w:t>[Status]</w:t>
          </w:r>
        </w:p>
      </w:docPartBody>
    </w:docPart>
    <w:docPart>
      <w:docPartPr>
        <w:name w:val="665EDD7E39484E8986AFADDB19489805"/>
        <w:category>
          <w:name w:val="General"/>
          <w:gallery w:val="placeholder"/>
        </w:category>
        <w:types>
          <w:type w:val="bbPlcHdr"/>
        </w:types>
        <w:behaviors>
          <w:behavior w:val="content"/>
        </w:behaviors>
        <w:guid w:val="{6352BDED-60C2-46C4-9911-0330C584258C}"/>
      </w:docPartPr>
      <w:docPartBody>
        <w:p w:rsidR="00350CBC" w:rsidRDefault="00024BA2" w:rsidP="00024BA2">
          <w:pPr>
            <w:pStyle w:val="665EDD7E39484E8986AFADDB19489805"/>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24BA2"/>
    <w:rsid w:val="00261E9A"/>
    <w:rsid w:val="00350CBC"/>
    <w:rsid w:val="00461E68"/>
    <w:rsid w:val="00500A2B"/>
    <w:rsid w:val="0058288D"/>
    <w:rsid w:val="006801B3"/>
    <w:rsid w:val="00720F63"/>
    <w:rsid w:val="007F1B76"/>
    <w:rsid w:val="00810A55"/>
    <w:rsid w:val="0088340B"/>
    <w:rsid w:val="008C6619"/>
    <w:rsid w:val="008D420E"/>
    <w:rsid w:val="0098642F"/>
    <w:rsid w:val="00B1618E"/>
    <w:rsid w:val="00CE6602"/>
    <w:rsid w:val="00D7030D"/>
    <w:rsid w:val="00F7054D"/>
    <w:rsid w:val="00F7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24BA2"/>
    <w:rPr>
      <w:color w:val="808080"/>
    </w:rPr>
  </w:style>
  <w:style w:type="paragraph" w:customStyle="1" w:styleId="C444DEE40D7C456B82AF1A09CD132ABF">
    <w:name w:val="C444DEE40D7C456B82AF1A09CD132ABF"/>
    <w:rsid w:val="00CE6602"/>
    <w:pPr>
      <w:spacing w:after="160" w:line="259" w:lineRule="auto"/>
    </w:pPr>
  </w:style>
  <w:style w:type="paragraph" w:customStyle="1" w:styleId="B1CBD48DA4154DD289E450B302A7C7A0">
    <w:name w:val="B1CBD48DA4154DD289E450B302A7C7A0"/>
    <w:rsid w:val="00024BA2"/>
    <w:pPr>
      <w:spacing w:after="160" w:line="259" w:lineRule="auto"/>
    </w:pPr>
    <w:rPr>
      <w:lang w:val="en-CA" w:eastAsia="en-CA"/>
    </w:rPr>
  </w:style>
  <w:style w:type="paragraph" w:customStyle="1" w:styleId="665EDD7E39484E8986AFADDB19489805">
    <w:name w:val="665EDD7E39484E8986AFADDB19489805"/>
    <w:rsid w:val="00024BA2"/>
    <w:pPr>
      <w:spacing w:after="160" w:line="259" w:lineRule="auto"/>
    </w:pPr>
    <w:rPr>
      <w:lang w:val="en-CA" w:eastAsia="en-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24BA2"/>
    <w:rPr>
      <w:color w:val="808080"/>
    </w:rPr>
  </w:style>
  <w:style w:type="paragraph" w:customStyle="1" w:styleId="C444DEE40D7C456B82AF1A09CD132ABF">
    <w:name w:val="C444DEE40D7C456B82AF1A09CD132ABF"/>
    <w:rsid w:val="00CE6602"/>
    <w:pPr>
      <w:spacing w:after="160" w:line="259" w:lineRule="auto"/>
    </w:pPr>
  </w:style>
  <w:style w:type="paragraph" w:customStyle="1" w:styleId="B1CBD48DA4154DD289E450B302A7C7A0">
    <w:name w:val="B1CBD48DA4154DD289E450B302A7C7A0"/>
    <w:rsid w:val="00024BA2"/>
    <w:pPr>
      <w:spacing w:after="160" w:line="259" w:lineRule="auto"/>
    </w:pPr>
    <w:rPr>
      <w:lang w:val="en-CA" w:eastAsia="en-CA"/>
    </w:rPr>
  </w:style>
  <w:style w:type="paragraph" w:customStyle="1" w:styleId="665EDD7E39484E8986AFADDB19489805">
    <w:name w:val="665EDD7E39484E8986AFADDB19489805"/>
    <w:rsid w:val="00024BA2"/>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58627D-69BC-4024-B859-811EC19C8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2951</Words>
  <Characters>16824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14/23.	Mécanisme de financement</vt:lpstr>
    </vt:vector>
  </TitlesOfParts>
  <Company>SCBD</Company>
  <LinksUpToDate>false</LinksUpToDate>
  <CharactersWithSpaces>19736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14/23.	Mécanisme de financement</dc:title>
  <dc:subject>CBD/COP/DEC/14/23</dc:subject>
  <dc:creator>COP 14</dc:creator>
  <cp:keywords>Resource mobilization and the financial mechanism, Convention on Biological Diversity</cp:keywords>
  <cp:lastModifiedBy>--</cp:lastModifiedBy>
  <cp:revision>14</cp:revision>
  <cp:lastPrinted>2018-11-28T07:31:00Z</cp:lastPrinted>
  <dcterms:created xsi:type="dcterms:W3CDTF">2019-01-17T16:04:00Z</dcterms:created>
  <dcterms:modified xsi:type="dcterms:W3CDTF">2019-01-23T10:39:00Z</dcterms:modified>
  <cp:contentStatus>GÉNÉRALE</cp:contentStatus>
</cp:coreProperties>
</file>