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GoBack"/>
            <w:bookmarkStart w:id="1" w:name="_Hlk505247837"/>
            <w:bookmarkEnd w:id="0"/>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1"/>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E643E3" w:rsidRDefault="00C9161D" w:rsidP="000260FA">
            <w:pPr>
              <w:suppressLineNumbers/>
              <w:suppressAutoHyphens/>
              <w:kinsoku w:val="0"/>
              <w:overflowPunct w:val="0"/>
              <w:autoSpaceDE w:val="0"/>
              <w:autoSpaceDN w:val="0"/>
              <w:ind w:left="1215"/>
              <w:rPr>
                <w:kern w:val="22"/>
                <w:szCs w:val="22"/>
                <w:lang w:val="fr-FR"/>
              </w:rPr>
            </w:pPr>
            <w:r w:rsidRPr="00F4394F">
              <w:rPr>
                <w:kern w:val="22"/>
                <w:szCs w:val="22"/>
                <w:lang w:val="en-US"/>
              </w:rPr>
              <w:t>Distr.</w:t>
            </w:r>
          </w:p>
          <w:p w:rsidR="00C9161D" w:rsidRPr="00E643E3" w:rsidRDefault="00954331" w:rsidP="0056099C">
            <w:pPr>
              <w:suppressLineNumbers/>
              <w:suppressAutoHyphens/>
              <w:kinsoku w:val="0"/>
              <w:overflowPunct w:val="0"/>
              <w:autoSpaceDE w:val="0"/>
              <w:autoSpaceDN w:val="0"/>
              <w:ind w:left="1215"/>
              <w:rPr>
                <w:kern w:val="22"/>
                <w:szCs w:val="22"/>
                <w:lang w:val="fr-FR"/>
              </w:rPr>
            </w:pPr>
            <w:r w:rsidRPr="00F4394F">
              <w:rPr>
                <w:kern w:val="22"/>
                <w:szCs w:val="22"/>
                <w:lang w:val="en-US"/>
              </w:rPr>
              <w:t>GENERAL</w:t>
            </w:r>
          </w:p>
          <w:p w:rsidR="00C9161D" w:rsidRPr="00E643E3" w:rsidRDefault="00C9161D" w:rsidP="0038105E">
            <w:pPr>
              <w:suppressLineNumbers/>
              <w:suppressAutoHyphens/>
              <w:kinsoku w:val="0"/>
              <w:overflowPunct w:val="0"/>
              <w:autoSpaceDE w:val="0"/>
              <w:autoSpaceDN w:val="0"/>
              <w:ind w:left="1215"/>
              <w:rPr>
                <w:kern w:val="22"/>
                <w:szCs w:val="22"/>
                <w:lang w:val="fr-FR"/>
              </w:rPr>
            </w:pPr>
          </w:p>
          <w:sdt>
            <w:sdtPr>
              <w:rPr>
                <w:kern w:val="22"/>
                <w:lang w:val="fr-FR"/>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E643E3" w:rsidRDefault="00C32100" w:rsidP="0038105E">
                <w:pPr>
                  <w:suppressLineNumbers/>
                  <w:suppressAutoHyphens/>
                  <w:kinsoku w:val="0"/>
                  <w:overflowPunct w:val="0"/>
                  <w:autoSpaceDE w:val="0"/>
                  <w:autoSpaceDN w:val="0"/>
                  <w:ind w:left="1215"/>
                  <w:rPr>
                    <w:kern w:val="22"/>
                    <w:szCs w:val="22"/>
                    <w:lang w:val="fr-FR"/>
                  </w:rPr>
                </w:pPr>
                <w:r w:rsidRPr="00E643E3">
                  <w:rPr>
                    <w:kern w:val="22"/>
                    <w:lang w:val="fr-FR"/>
                  </w:rPr>
                  <w:t>CBD/COP/DEC/14/2</w:t>
                </w:r>
                <w:r w:rsidR="00751CF9" w:rsidRPr="00E643E3">
                  <w:rPr>
                    <w:kern w:val="22"/>
                    <w:lang w:val="fr-FR"/>
                  </w:rPr>
                  <w:t>2</w:t>
                </w:r>
              </w:p>
            </w:sdtContent>
          </w:sdt>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 xml:space="preserve">Пункт </w:t>
      </w:r>
      <w:r w:rsidR="00751CF9">
        <w:rPr>
          <w:kern w:val="22"/>
          <w:szCs w:val="22"/>
        </w:rPr>
        <w:t>9</w:t>
      </w:r>
      <w:r>
        <w:rPr>
          <w:kern w:val="22"/>
          <w:szCs w:val="22"/>
        </w:rPr>
        <w:t xml:space="preserve">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Pr="00E643E3" w:rsidRDefault="009F5421" w:rsidP="009F5421">
      <w:pPr>
        <w:keepNext/>
        <w:spacing w:before="120" w:after="120"/>
        <w:ind w:firstLine="709"/>
        <w:jc w:val="center"/>
        <w:rPr>
          <w:b/>
          <w:iCs/>
        </w:rPr>
      </w:pPr>
      <w:bookmarkStart w:id="2" w:name="_Toc522023215"/>
      <w:r w:rsidRPr="00E643E3">
        <w:rPr>
          <w:b/>
          <w:iCs/>
        </w:rPr>
        <w:t>14</w:t>
      </w:r>
      <w:r w:rsidR="004929FF">
        <w:rPr>
          <w:b/>
          <w:iCs/>
        </w:rPr>
        <w:t>/</w:t>
      </w:r>
      <w:r w:rsidR="00751CF9">
        <w:rPr>
          <w:b/>
          <w:iCs/>
        </w:rPr>
        <w:t>2</w:t>
      </w:r>
      <w:r w:rsidRPr="00E643E3">
        <w:rPr>
          <w:b/>
          <w:iCs/>
        </w:rPr>
        <w:t>2</w:t>
      </w:r>
      <w:r w:rsidRPr="00E643E3">
        <w:rPr>
          <w:b/>
          <w:iCs/>
        </w:rPr>
        <w:tab/>
      </w:r>
      <w:r w:rsidR="00EB7408">
        <w:rPr>
          <w:b/>
          <w:iCs/>
        </w:rPr>
        <w:t>М</w:t>
      </w:r>
      <w:r w:rsidR="00EB7408" w:rsidRPr="00F536DB">
        <w:rPr>
          <w:rFonts w:ascii="Times New Roman Bold" w:hAnsi="Times New Roman Bold" w:hint="eastAsia"/>
          <w:b/>
          <w:kern w:val="22"/>
        </w:rPr>
        <w:t>обилизация</w:t>
      </w:r>
      <w:r w:rsidR="00EB7408" w:rsidRPr="00F536DB">
        <w:rPr>
          <w:rFonts w:ascii="Times New Roman Bold" w:hAnsi="Times New Roman Bold"/>
          <w:b/>
          <w:kern w:val="22"/>
        </w:rPr>
        <w:t xml:space="preserve"> </w:t>
      </w:r>
      <w:r w:rsidR="00EB7408" w:rsidRPr="00F536DB">
        <w:rPr>
          <w:rFonts w:ascii="Times New Roman Bold" w:hAnsi="Times New Roman Bold" w:hint="eastAsia"/>
          <w:b/>
          <w:kern w:val="22"/>
        </w:rPr>
        <w:t>ресурсов</w:t>
      </w:r>
    </w:p>
    <w:p w:rsidR="00EB7408" w:rsidRPr="00304E14" w:rsidRDefault="00EB7408" w:rsidP="00EB7408">
      <w:pPr>
        <w:spacing w:before="120" w:after="120"/>
        <w:ind w:firstLine="709"/>
        <w:rPr>
          <w:i/>
          <w:snapToGrid w:val="0"/>
          <w:kern w:val="22"/>
          <w:szCs w:val="22"/>
        </w:rPr>
      </w:pPr>
      <w:r w:rsidRPr="00304E14">
        <w:rPr>
          <w:i/>
          <w:snapToGrid w:val="0"/>
          <w:kern w:val="22"/>
          <w:szCs w:val="22"/>
        </w:rPr>
        <w:t>Конференция Сторон</w:t>
      </w:r>
    </w:p>
    <w:p w:rsidR="00EB7408" w:rsidRPr="00521C9C" w:rsidRDefault="00EB7408" w:rsidP="00EB7408">
      <w:pPr>
        <w:keepNext/>
        <w:suppressLineNumbers/>
        <w:tabs>
          <w:tab w:val="left" w:pos="1080"/>
        </w:tabs>
        <w:suppressAutoHyphens/>
        <w:kinsoku w:val="0"/>
        <w:overflowPunct w:val="0"/>
        <w:autoSpaceDE w:val="0"/>
        <w:autoSpaceDN w:val="0"/>
        <w:adjustRightInd w:val="0"/>
        <w:snapToGrid w:val="0"/>
        <w:spacing w:after="120"/>
        <w:ind w:firstLine="851"/>
        <w:jc w:val="center"/>
        <w:rPr>
          <w:b/>
          <w:snapToGrid w:val="0"/>
          <w:kern w:val="22"/>
          <w:szCs w:val="22"/>
        </w:rPr>
      </w:pPr>
      <w:r>
        <w:rPr>
          <w:b/>
          <w:snapToGrid w:val="0"/>
          <w:kern w:val="22"/>
          <w:szCs w:val="22"/>
        </w:rPr>
        <w:t>А.</w:t>
      </w:r>
      <w:r>
        <w:rPr>
          <w:b/>
          <w:snapToGrid w:val="0"/>
          <w:kern w:val="22"/>
          <w:szCs w:val="22"/>
        </w:rPr>
        <w:tab/>
      </w:r>
      <w:r>
        <w:rPr>
          <w:b/>
          <w:snapToGrid w:val="0"/>
          <w:kern w:val="22"/>
          <w:szCs w:val="22"/>
        </w:rPr>
        <w:tab/>
      </w:r>
      <w:r w:rsidRPr="00521C9C">
        <w:rPr>
          <w:b/>
          <w:snapToGrid w:val="0"/>
          <w:kern w:val="22"/>
          <w:szCs w:val="22"/>
        </w:rPr>
        <w:t>Финансовая отчетность</w:t>
      </w:r>
    </w:p>
    <w:p w:rsidR="00EB7408" w:rsidRPr="00304E14" w:rsidRDefault="00EB7408" w:rsidP="00EB7408">
      <w:pPr>
        <w:spacing w:before="120" w:after="120"/>
        <w:ind w:firstLine="709"/>
        <w:rPr>
          <w:snapToGrid w:val="0"/>
          <w:kern w:val="22"/>
          <w:szCs w:val="22"/>
        </w:rPr>
      </w:pPr>
      <w:r w:rsidRPr="00304E14">
        <w:rPr>
          <w:snapToGrid w:val="0"/>
          <w:kern w:val="22"/>
          <w:szCs w:val="22"/>
        </w:rPr>
        <w:t>1.</w:t>
      </w:r>
      <w:r w:rsidRPr="00304E14">
        <w:rPr>
          <w:snapToGrid w:val="0"/>
          <w:kern w:val="22"/>
          <w:szCs w:val="22"/>
        </w:rPr>
        <w:tab/>
      </w:r>
      <w:r w:rsidRPr="00304E14">
        <w:rPr>
          <w:i/>
          <w:snapToGrid w:val="0"/>
          <w:kern w:val="22"/>
          <w:szCs w:val="22"/>
        </w:rPr>
        <w:t>с удовлетворением принимает к сведению</w:t>
      </w:r>
      <w:r w:rsidRPr="00304E14">
        <w:rPr>
          <w:snapToGrid w:val="0"/>
          <w:kern w:val="22"/>
          <w:szCs w:val="22"/>
        </w:rPr>
        <w:t xml:space="preserve"> информацию, представленную Сторонами посредством структуры представления финансовой отчетности;</w:t>
      </w:r>
    </w:p>
    <w:p w:rsidR="00EB7408" w:rsidRPr="00304E14" w:rsidRDefault="00EB7408" w:rsidP="00EB7408">
      <w:pPr>
        <w:spacing w:before="120" w:after="120"/>
        <w:ind w:firstLine="709"/>
        <w:rPr>
          <w:snapToGrid w:val="0"/>
          <w:kern w:val="22"/>
          <w:szCs w:val="22"/>
        </w:rPr>
      </w:pPr>
      <w:proofErr w:type="gramStart"/>
      <w:r w:rsidRPr="00304E14">
        <w:rPr>
          <w:snapToGrid w:val="0"/>
          <w:kern w:val="22"/>
          <w:szCs w:val="22"/>
        </w:rPr>
        <w:t>2.</w:t>
      </w:r>
      <w:r w:rsidRPr="00304E14">
        <w:rPr>
          <w:snapToGrid w:val="0"/>
          <w:kern w:val="22"/>
          <w:szCs w:val="22"/>
        </w:rPr>
        <w:tab/>
      </w:r>
      <w:r w:rsidRPr="00304E14">
        <w:rPr>
          <w:i/>
          <w:snapToGrid w:val="0"/>
          <w:kern w:val="22"/>
          <w:szCs w:val="22"/>
        </w:rPr>
        <w:t>принимает к сведению</w:t>
      </w:r>
      <w:r w:rsidRPr="00304E14">
        <w:rPr>
          <w:snapToGrid w:val="0"/>
          <w:kern w:val="22"/>
          <w:szCs w:val="22"/>
        </w:rPr>
        <w:t xml:space="preserve"> анализ информации, представленной Сторонами посредством структуры представления финансовой отчетности, и, в частности, прогресс в выполнении целевых задач, принятых в решении XII/3, содержащ</w:t>
      </w:r>
      <w:r w:rsidR="00647928">
        <w:rPr>
          <w:snapToGrid w:val="0"/>
          <w:kern w:val="22"/>
          <w:szCs w:val="22"/>
        </w:rPr>
        <w:t>ий</w:t>
      </w:r>
      <w:r w:rsidRPr="00304E14">
        <w:rPr>
          <w:snapToGrid w:val="0"/>
          <w:kern w:val="22"/>
          <w:szCs w:val="22"/>
        </w:rPr>
        <w:t>ся в записке Исполнительного секретаря «Мобилизация ресурсов: обзор и обновленный анализ информации, представленной посредством структуры представления финансовой отчетности»</w:t>
      </w:r>
      <w:r w:rsidRPr="00304E14">
        <w:rPr>
          <w:rStyle w:val="Appelnotedebasdep"/>
          <w:rFonts w:eastAsiaTheme="majorEastAsia"/>
          <w:snapToGrid w:val="0"/>
          <w:kern w:val="22"/>
          <w:szCs w:val="22"/>
        </w:rPr>
        <w:footnoteReference w:id="2"/>
      </w:r>
      <w:r w:rsidRPr="00304E14">
        <w:rPr>
          <w:snapToGrid w:val="0"/>
          <w:kern w:val="22"/>
          <w:szCs w:val="22"/>
        </w:rPr>
        <w:t xml:space="preserve">; </w:t>
      </w:r>
      <w:proofErr w:type="gramEnd"/>
    </w:p>
    <w:p w:rsidR="00EB7408" w:rsidRPr="00304E14" w:rsidRDefault="00EB7408" w:rsidP="00EB7408">
      <w:pPr>
        <w:spacing w:before="120" w:after="120"/>
        <w:ind w:firstLine="709"/>
        <w:rPr>
          <w:snapToGrid w:val="0"/>
          <w:kern w:val="22"/>
          <w:szCs w:val="22"/>
        </w:rPr>
      </w:pPr>
      <w:r w:rsidRPr="00304E14">
        <w:rPr>
          <w:snapToGrid w:val="0"/>
          <w:kern w:val="22"/>
          <w:szCs w:val="22"/>
        </w:rPr>
        <w:t>3.</w:t>
      </w:r>
      <w:r w:rsidRPr="00304E14">
        <w:rPr>
          <w:snapToGrid w:val="0"/>
          <w:kern w:val="22"/>
          <w:szCs w:val="22"/>
        </w:rPr>
        <w:tab/>
      </w:r>
      <w:r>
        <w:rPr>
          <w:i/>
          <w:snapToGrid w:val="0"/>
          <w:kern w:val="22"/>
          <w:szCs w:val="22"/>
        </w:rPr>
        <w:t>настоятельно призывает</w:t>
      </w:r>
      <w:r w:rsidRPr="00304E14">
        <w:rPr>
          <w:i/>
          <w:snapToGrid w:val="0"/>
          <w:kern w:val="22"/>
          <w:szCs w:val="22"/>
        </w:rPr>
        <w:t xml:space="preserve"> </w:t>
      </w:r>
      <w:r w:rsidRPr="00304E14">
        <w:rPr>
          <w:snapToGrid w:val="0"/>
          <w:kern w:val="22"/>
          <w:szCs w:val="22"/>
        </w:rPr>
        <w:t>Сторон</w:t>
      </w:r>
      <w:r>
        <w:rPr>
          <w:snapToGrid w:val="0"/>
          <w:kern w:val="22"/>
          <w:szCs w:val="22"/>
        </w:rPr>
        <w:t>ы</w:t>
      </w:r>
      <w:r w:rsidRPr="00304E14">
        <w:rPr>
          <w:snapToGrid w:val="0"/>
          <w:kern w:val="22"/>
          <w:szCs w:val="22"/>
        </w:rPr>
        <w:t xml:space="preserve"> </w:t>
      </w:r>
      <w:r w:rsidR="00E643E3">
        <w:rPr>
          <w:snapToGrid w:val="0"/>
          <w:kern w:val="22"/>
          <w:szCs w:val="22"/>
        </w:rPr>
        <w:t>наряду</w:t>
      </w:r>
      <w:r w:rsidRPr="00304E14">
        <w:rPr>
          <w:snapToGrid w:val="0"/>
          <w:kern w:val="22"/>
          <w:szCs w:val="22"/>
        </w:rPr>
        <w:t xml:space="preserve"> с представлением своих шестых национальных докладов к 31 декабря 2018 года представить отчет о своем дальнейшем вкладе в коллективные действия для выполнения глобальных целевых задач по мобилизации ресурсов посредством онлайновой структуры представления финансовой отчетности, сопоставив эту информацию с установленными исходными данными;</w:t>
      </w:r>
    </w:p>
    <w:p w:rsidR="00EB7408" w:rsidRPr="00521C9C" w:rsidRDefault="00EB7408" w:rsidP="00EB7408">
      <w:pPr>
        <w:keepNext/>
        <w:suppressLineNumbers/>
        <w:tabs>
          <w:tab w:val="left" w:pos="1080"/>
        </w:tabs>
        <w:suppressAutoHyphens/>
        <w:kinsoku w:val="0"/>
        <w:overflowPunct w:val="0"/>
        <w:autoSpaceDE w:val="0"/>
        <w:autoSpaceDN w:val="0"/>
        <w:adjustRightInd w:val="0"/>
        <w:snapToGrid w:val="0"/>
        <w:spacing w:after="120"/>
        <w:ind w:firstLine="851"/>
        <w:jc w:val="center"/>
        <w:rPr>
          <w:b/>
          <w:snapToGrid w:val="0"/>
          <w:kern w:val="22"/>
          <w:szCs w:val="22"/>
        </w:rPr>
      </w:pPr>
      <w:r>
        <w:rPr>
          <w:b/>
          <w:snapToGrid w:val="0"/>
          <w:kern w:val="22"/>
          <w:szCs w:val="22"/>
          <w:lang w:val="en-US"/>
        </w:rPr>
        <w:t>B</w:t>
      </w:r>
      <w:r>
        <w:rPr>
          <w:b/>
          <w:snapToGrid w:val="0"/>
          <w:kern w:val="22"/>
          <w:szCs w:val="22"/>
        </w:rPr>
        <w:t>.</w:t>
      </w:r>
      <w:r>
        <w:rPr>
          <w:b/>
          <w:snapToGrid w:val="0"/>
          <w:kern w:val="22"/>
          <w:szCs w:val="22"/>
        </w:rPr>
        <w:tab/>
      </w:r>
      <w:r w:rsidRPr="00576F58">
        <w:rPr>
          <w:b/>
          <w:snapToGrid w:val="0"/>
          <w:kern w:val="22"/>
          <w:szCs w:val="22"/>
        </w:rPr>
        <w:tab/>
      </w:r>
      <w:r w:rsidRPr="00521C9C">
        <w:rPr>
          <w:b/>
          <w:snapToGrid w:val="0"/>
          <w:kern w:val="22"/>
          <w:szCs w:val="22"/>
        </w:rPr>
        <w:t>Создание потенциала и техническая помощь</w:t>
      </w:r>
    </w:p>
    <w:p w:rsidR="00EB7408" w:rsidRPr="00304E14" w:rsidRDefault="00EB7408" w:rsidP="00EB7408">
      <w:pPr>
        <w:spacing w:after="120"/>
        <w:ind w:firstLine="709"/>
        <w:rPr>
          <w:snapToGrid w:val="0"/>
          <w:kern w:val="22"/>
          <w:szCs w:val="22"/>
        </w:rPr>
      </w:pPr>
      <w:proofErr w:type="gramStart"/>
      <w:r w:rsidRPr="00304E14">
        <w:rPr>
          <w:snapToGrid w:val="0"/>
          <w:kern w:val="22"/>
          <w:szCs w:val="22"/>
        </w:rPr>
        <w:t>4.</w:t>
      </w:r>
      <w:r w:rsidRPr="00304E14">
        <w:rPr>
          <w:snapToGrid w:val="0"/>
          <w:kern w:val="22"/>
          <w:szCs w:val="22"/>
        </w:rPr>
        <w:tab/>
      </w:r>
      <w:r w:rsidRPr="00304E14">
        <w:rPr>
          <w:i/>
          <w:snapToGrid w:val="0"/>
          <w:kern w:val="22"/>
          <w:szCs w:val="22"/>
        </w:rPr>
        <w:t>приветствует</w:t>
      </w:r>
      <w:r w:rsidRPr="00304E14">
        <w:rPr>
          <w:snapToGrid w:val="0"/>
          <w:kern w:val="22"/>
          <w:szCs w:val="22"/>
        </w:rPr>
        <w:t xml:space="preserve"> работу соответствующих организаций и инициатив, включая Инициативу по финансированию биоразнообразия Программы развития Организации Объединенных Наций, </w:t>
      </w:r>
      <w:r w:rsidR="00E643E3">
        <w:rPr>
          <w:snapToGrid w:val="0"/>
          <w:kern w:val="22"/>
          <w:szCs w:val="22"/>
        </w:rPr>
        <w:t>направленную на с</w:t>
      </w:r>
      <w:r w:rsidRPr="00304E14">
        <w:rPr>
          <w:snapToGrid w:val="0"/>
          <w:kern w:val="22"/>
          <w:szCs w:val="22"/>
        </w:rPr>
        <w:t>оздани</w:t>
      </w:r>
      <w:r w:rsidR="00E643E3">
        <w:rPr>
          <w:snapToGrid w:val="0"/>
          <w:kern w:val="22"/>
          <w:szCs w:val="22"/>
        </w:rPr>
        <w:t>е</w:t>
      </w:r>
      <w:r w:rsidRPr="00304E14">
        <w:rPr>
          <w:snapToGrid w:val="0"/>
          <w:kern w:val="22"/>
          <w:szCs w:val="22"/>
        </w:rPr>
        <w:t xml:space="preserve"> потенциала и о</w:t>
      </w:r>
      <w:r w:rsidR="00E643E3">
        <w:rPr>
          <w:snapToGrid w:val="0"/>
          <w:kern w:val="22"/>
          <w:szCs w:val="22"/>
        </w:rPr>
        <w:t>казание</w:t>
      </w:r>
      <w:r w:rsidRPr="00304E14">
        <w:rPr>
          <w:snapToGrid w:val="0"/>
          <w:kern w:val="22"/>
          <w:szCs w:val="22"/>
        </w:rPr>
        <w:t xml:space="preserve"> технической помощи заинтересованным Сторонам</w:t>
      </w:r>
      <w:r w:rsidR="00E643E3">
        <w:rPr>
          <w:snapToGrid w:val="0"/>
          <w:kern w:val="22"/>
          <w:szCs w:val="22"/>
        </w:rPr>
        <w:t xml:space="preserve"> из числа</w:t>
      </w:r>
      <w:r w:rsidRPr="00304E14">
        <w:rPr>
          <w:snapToGrid w:val="0"/>
          <w:kern w:val="22"/>
          <w:szCs w:val="22"/>
        </w:rPr>
        <w:t xml:space="preserve"> развивающи</w:t>
      </w:r>
      <w:r w:rsidR="00E643E3">
        <w:rPr>
          <w:snapToGrid w:val="0"/>
          <w:kern w:val="22"/>
          <w:szCs w:val="22"/>
        </w:rPr>
        <w:t>х</w:t>
      </w:r>
      <w:r w:rsidRPr="00304E14">
        <w:rPr>
          <w:snapToGrid w:val="0"/>
          <w:kern w:val="22"/>
          <w:szCs w:val="22"/>
        </w:rPr>
        <w:t>ся стран, в частности, наименее развитым странам и малым островным развивающимся государствам, а также странам с переходной экономикой, включая коренные народы, местные общины и другие соответствующие заинтересованные стороны в указанных странах</w:t>
      </w:r>
      <w:proofErr w:type="gramEnd"/>
      <w:r w:rsidRPr="00304E14">
        <w:rPr>
          <w:snapToGrid w:val="0"/>
          <w:kern w:val="22"/>
          <w:szCs w:val="22"/>
        </w:rPr>
        <w:t xml:space="preserve">, </w:t>
      </w:r>
      <w:proofErr w:type="gramStart"/>
      <w:r w:rsidRPr="00304E14">
        <w:rPr>
          <w:snapToGrid w:val="0"/>
          <w:kern w:val="22"/>
          <w:szCs w:val="22"/>
        </w:rPr>
        <w:t xml:space="preserve">с целью выявления их финансовых потребностей, пробелов и приоритетов, разработки и осуществления национальных стратегий по мобилизации ресурсов и представления финансовой отчетности и </w:t>
      </w:r>
      <w:r w:rsidRPr="00EE6AA8">
        <w:rPr>
          <w:i/>
          <w:snapToGrid w:val="0"/>
          <w:kern w:val="22"/>
          <w:szCs w:val="22"/>
        </w:rPr>
        <w:t>предлагает</w:t>
      </w:r>
      <w:r w:rsidRPr="00304E14">
        <w:rPr>
          <w:snapToGrid w:val="0"/>
          <w:kern w:val="22"/>
          <w:szCs w:val="22"/>
        </w:rPr>
        <w:t xml:space="preserve"> Инициативе по финансированию биоразнообразия и аналогичным программам и инициативам продолжать оказ</w:t>
      </w:r>
      <w:r w:rsidR="00E643E3">
        <w:rPr>
          <w:snapToGrid w:val="0"/>
          <w:kern w:val="22"/>
          <w:szCs w:val="22"/>
        </w:rPr>
        <w:t>ывать</w:t>
      </w:r>
      <w:r w:rsidRPr="00304E14">
        <w:rPr>
          <w:snapToGrid w:val="0"/>
          <w:kern w:val="22"/>
          <w:szCs w:val="22"/>
        </w:rPr>
        <w:t xml:space="preserve"> финансов</w:t>
      </w:r>
      <w:r w:rsidR="00E643E3">
        <w:rPr>
          <w:snapToGrid w:val="0"/>
          <w:kern w:val="22"/>
          <w:szCs w:val="22"/>
        </w:rPr>
        <w:t>ую</w:t>
      </w:r>
      <w:r w:rsidRPr="00304E14">
        <w:rPr>
          <w:snapToGrid w:val="0"/>
          <w:kern w:val="22"/>
          <w:szCs w:val="22"/>
        </w:rPr>
        <w:t xml:space="preserve"> и техническ</w:t>
      </w:r>
      <w:r w:rsidR="00E643E3">
        <w:rPr>
          <w:snapToGrid w:val="0"/>
          <w:kern w:val="22"/>
          <w:szCs w:val="22"/>
        </w:rPr>
        <w:t>ую</w:t>
      </w:r>
      <w:r w:rsidRPr="00304E14">
        <w:rPr>
          <w:snapToGrid w:val="0"/>
          <w:kern w:val="22"/>
          <w:szCs w:val="22"/>
        </w:rPr>
        <w:t xml:space="preserve"> поддержк</w:t>
      </w:r>
      <w:r w:rsidR="00E643E3">
        <w:rPr>
          <w:snapToGrid w:val="0"/>
          <w:kern w:val="22"/>
          <w:szCs w:val="22"/>
        </w:rPr>
        <w:t>у</w:t>
      </w:r>
      <w:r w:rsidRPr="00304E14">
        <w:rPr>
          <w:snapToGrid w:val="0"/>
          <w:kern w:val="22"/>
          <w:szCs w:val="22"/>
        </w:rPr>
        <w:t xml:space="preserve"> </w:t>
      </w:r>
      <w:r w:rsidR="00E643E3" w:rsidRPr="00304E14">
        <w:rPr>
          <w:snapToGrid w:val="0"/>
          <w:kern w:val="22"/>
          <w:szCs w:val="22"/>
        </w:rPr>
        <w:t>заинтересованны</w:t>
      </w:r>
      <w:r w:rsidR="00E643E3">
        <w:rPr>
          <w:snapToGrid w:val="0"/>
          <w:kern w:val="22"/>
          <w:szCs w:val="22"/>
        </w:rPr>
        <w:t>м</w:t>
      </w:r>
      <w:r w:rsidR="00E643E3" w:rsidRPr="00304E14">
        <w:rPr>
          <w:snapToGrid w:val="0"/>
          <w:kern w:val="22"/>
          <w:szCs w:val="22"/>
        </w:rPr>
        <w:t xml:space="preserve"> Сторон</w:t>
      </w:r>
      <w:r w:rsidR="00E643E3">
        <w:rPr>
          <w:snapToGrid w:val="0"/>
          <w:kern w:val="22"/>
          <w:szCs w:val="22"/>
        </w:rPr>
        <w:t>ам из числа</w:t>
      </w:r>
      <w:r w:rsidR="00E643E3" w:rsidRPr="00304E14">
        <w:rPr>
          <w:snapToGrid w:val="0"/>
          <w:kern w:val="22"/>
          <w:szCs w:val="22"/>
        </w:rPr>
        <w:t xml:space="preserve"> развивающи</w:t>
      </w:r>
      <w:r w:rsidR="00E643E3">
        <w:rPr>
          <w:snapToGrid w:val="0"/>
          <w:kern w:val="22"/>
          <w:szCs w:val="22"/>
        </w:rPr>
        <w:t>х</w:t>
      </w:r>
      <w:r w:rsidR="00E643E3" w:rsidRPr="00304E14">
        <w:rPr>
          <w:snapToGrid w:val="0"/>
          <w:kern w:val="22"/>
          <w:szCs w:val="22"/>
        </w:rPr>
        <w:t>ся стран</w:t>
      </w:r>
      <w:r w:rsidR="00E643E3">
        <w:rPr>
          <w:snapToGrid w:val="0"/>
          <w:kern w:val="22"/>
          <w:szCs w:val="22"/>
        </w:rPr>
        <w:t xml:space="preserve"> </w:t>
      </w:r>
      <w:r w:rsidR="00E643E3" w:rsidRPr="00304E14">
        <w:rPr>
          <w:snapToGrid w:val="0"/>
          <w:kern w:val="22"/>
          <w:szCs w:val="22"/>
        </w:rPr>
        <w:t xml:space="preserve">для </w:t>
      </w:r>
      <w:r w:rsidR="00E643E3">
        <w:rPr>
          <w:snapToGrid w:val="0"/>
          <w:kern w:val="22"/>
          <w:szCs w:val="22"/>
        </w:rPr>
        <w:t xml:space="preserve">их </w:t>
      </w:r>
      <w:r w:rsidR="00E643E3" w:rsidRPr="00304E14">
        <w:rPr>
          <w:snapToGrid w:val="0"/>
          <w:kern w:val="22"/>
          <w:szCs w:val="22"/>
        </w:rPr>
        <w:t xml:space="preserve">участия в инициативе </w:t>
      </w:r>
      <w:r w:rsidRPr="00304E14">
        <w:rPr>
          <w:snapToGrid w:val="0"/>
          <w:kern w:val="22"/>
          <w:szCs w:val="22"/>
        </w:rPr>
        <w:t xml:space="preserve">и </w:t>
      </w:r>
      <w:r w:rsidR="0041786C">
        <w:rPr>
          <w:snapToGrid w:val="0"/>
          <w:kern w:val="22"/>
          <w:szCs w:val="22"/>
        </w:rPr>
        <w:t>содействовать</w:t>
      </w:r>
      <w:r w:rsidR="00E643E3">
        <w:rPr>
          <w:snapToGrid w:val="0"/>
          <w:kern w:val="22"/>
          <w:szCs w:val="22"/>
        </w:rPr>
        <w:t xml:space="preserve"> наращивани</w:t>
      </w:r>
      <w:r w:rsidR="0041786C">
        <w:rPr>
          <w:snapToGrid w:val="0"/>
          <w:kern w:val="22"/>
          <w:szCs w:val="22"/>
        </w:rPr>
        <w:t>ю</w:t>
      </w:r>
      <w:r w:rsidR="00E643E3">
        <w:rPr>
          <w:snapToGrid w:val="0"/>
          <w:kern w:val="22"/>
          <w:szCs w:val="22"/>
        </w:rPr>
        <w:t xml:space="preserve"> их </w:t>
      </w:r>
      <w:r w:rsidRPr="00304E14">
        <w:rPr>
          <w:snapToGrid w:val="0"/>
          <w:kern w:val="22"/>
          <w:szCs w:val="22"/>
        </w:rPr>
        <w:t>потенциала;</w:t>
      </w:r>
      <w:proofErr w:type="gramEnd"/>
    </w:p>
    <w:p w:rsidR="00EB7408" w:rsidRDefault="00EB7408" w:rsidP="00EB7408">
      <w:pPr>
        <w:spacing w:after="120"/>
        <w:ind w:firstLine="709"/>
        <w:rPr>
          <w:snapToGrid w:val="0"/>
          <w:kern w:val="22"/>
          <w:szCs w:val="22"/>
        </w:rPr>
      </w:pPr>
      <w:proofErr w:type="gramStart"/>
      <w:r w:rsidRPr="00304E14">
        <w:rPr>
          <w:snapToGrid w:val="0"/>
          <w:kern w:val="22"/>
          <w:szCs w:val="22"/>
        </w:rPr>
        <w:lastRenderedPageBreak/>
        <w:t>5.</w:t>
      </w:r>
      <w:r w:rsidRPr="00304E14">
        <w:rPr>
          <w:snapToGrid w:val="0"/>
          <w:kern w:val="22"/>
          <w:szCs w:val="22"/>
        </w:rPr>
        <w:tab/>
      </w:r>
      <w:r w:rsidRPr="00304E14">
        <w:rPr>
          <w:i/>
          <w:snapToGrid w:val="0"/>
          <w:kern w:val="22"/>
          <w:szCs w:val="22"/>
        </w:rPr>
        <w:t xml:space="preserve">предлагает </w:t>
      </w:r>
      <w:r w:rsidRPr="00304E14">
        <w:rPr>
          <w:snapToGrid w:val="0"/>
          <w:kern w:val="22"/>
          <w:szCs w:val="22"/>
        </w:rPr>
        <w:t>Сторонам</w:t>
      </w:r>
      <w:r>
        <w:rPr>
          <w:snapToGrid w:val="0"/>
          <w:kern w:val="22"/>
          <w:szCs w:val="22"/>
        </w:rPr>
        <w:t xml:space="preserve">, </w:t>
      </w:r>
      <w:r w:rsidRPr="00304E14">
        <w:rPr>
          <w:snapToGrid w:val="0"/>
          <w:kern w:val="22"/>
          <w:szCs w:val="22"/>
        </w:rPr>
        <w:t>други</w:t>
      </w:r>
      <w:r>
        <w:rPr>
          <w:snapToGrid w:val="0"/>
          <w:kern w:val="22"/>
          <w:szCs w:val="22"/>
        </w:rPr>
        <w:t xml:space="preserve">м </w:t>
      </w:r>
      <w:r w:rsidRPr="00304E14">
        <w:rPr>
          <w:snapToGrid w:val="0"/>
          <w:kern w:val="22"/>
          <w:szCs w:val="22"/>
        </w:rPr>
        <w:t>правительства</w:t>
      </w:r>
      <w:r>
        <w:rPr>
          <w:snapToGrid w:val="0"/>
          <w:kern w:val="22"/>
          <w:szCs w:val="22"/>
        </w:rPr>
        <w:t>м</w:t>
      </w:r>
      <w:r w:rsidRPr="00304E14">
        <w:rPr>
          <w:snapToGrid w:val="0"/>
          <w:kern w:val="22"/>
          <w:szCs w:val="22"/>
        </w:rPr>
        <w:t xml:space="preserve"> и донор</w:t>
      </w:r>
      <w:r>
        <w:rPr>
          <w:snapToGrid w:val="0"/>
          <w:kern w:val="22"/>
          <w:szCs w:val="22"/>
        </w:rPr>
        <w:t>ам</w:t>
      </w:r>
      <w:r w:rsidRPr="00304E14">
        <w:rPr>
          <w:snapToGrid w:val="0"/>
          <w:kern w:val="22"/>
          <w:szCs w:val="22"/>
        </w:rPr>
        <w:t xml:space="preserve">, </w:t>
      </w:r>
      <w:r>
        <w:rPr>
          <w:snapToGrid w:val="0"/>
          <w:kern w:val="22"/>
          <w:szCs w:val="22"/>
        </w:rPr>
        <w:t>располагающим возможностями</w:t>
      </w:r>
      <w:r w:rsidRPr="00304E14">
        <w:rPr>
          <w:snapToGrid w:val="0"/>
          <w:kern w:val="22"/>
          <w:szCs w:val="22"/>
        </w:rPr>
        <w:t>, предоставлять финансовые ресурсы в соответствии со статьей 20 Конвенции</w:t>
      </w:r>
      <w:r>
        <w:rPr>
          <w:snapToGrid w:val="0"/>
          <w:kern w:val="22"/>
          <w:szCs w:val="22"/>
        </w:rPr>
        <w:t xml:space="preserve"> и для достижения целей в отношении мобилизации ресурсов, принятых в решении </w:t>
      </w:r>
      <w:r w:rsidRPr="00FA2451">
        <w:rPr>
          <w:snapToGrid w:val="0"/>
          <w:kern w:val="22"/>
          <w:szCs w:val="22"/>
        </w:rPr>
        <w:t>XII</w:t>
      </w:r>
      <w:r w:rsidRPr="00576F58">
        <w:rPr>
          <w:snapToGrid w:val="0"/>
          <w:kern w:val="22"/>
          <w:szCs w:val="22"/>
        </w:rPr>
        <w:t>/3</w:t>
      </w:r>
      <w:r>
        <w:rPr>
          <w:snapToGrid w:val="0"/>
          <w:kern w:val="22"/>
          <w:szCs w:val="22"/>
        </w:rPr>
        <w:t xml:space="preserve">, </w:t>
      </w:r>
      <w:r w:rsidRPr="00304E14">
        <w:rPr>
          <w:snapToGrid w:val="0"/>
          <w:kern w:val="22"/>
          <w:szCs w:val="22"/>
        </w:rPr>
        <w:t>для создания потенциала и оказания технической помощи, а также для содействия передаче технологий</w:t>
      </w:r>
      <w:r>
        <w:rPr>
          <w:snapToGrid w:val="0"/>
          <w:kern w:val="22"/>
          <w:szCs w:val="22"/>
        </w:rPr>
        <w:t xml:space="preserve"> и оказанию поддержки процессу мониторинга финансовых ресурсов для Конвенции, особенно в отношении тех целевых задач по</w:t>
      </w:r>
      <w:proofErr w:type="gramEnd"/>
      <w:r>
        <w:rPr>
          <w:snapToGrid w:val="0"/>
          <w:kern w:val="22"/>
          <w:szCs w:val="22"/>
        </w:rPr>
        <w:t xml:space="preserve"> </w:t>
      </w:r>
      <w:proofErr w:type="gramStart"/>
      <w:r>
        <w:rPr>
          <w:snapToGrid w:val="0"/>
          <w:kern w:val="22"/>
          <w:szCs w:val="22"/>
        </w:rPr>
        <w:t>сохранению и устойчивому использованию биоразнообразия, принятых в Айти, которые могут быть выполнены в следующие два года в рамках структуры финансовой отчетности;</w:t>
      </w:r>
      <w:proofErr w:type="gramEnd"/>
    </w:p>
    <w:p w:rsidR="00EB7408" w:rsidRPr="00304E14" w:rsidRDefault="00EB7408" w:rsidP="00EB7408">
      <w:pPr>
        <w:spacing w:after="120"/>
        <w:ind w:firstLine="709"/>
        <w:rPr>
          <w:snapToGrid w:val="0"/>
          <w:kern w:val="22"/>
          <w:szCs w:val="22"/>
        </w:rPr>
      </w:pPr>
      <w:r>
        <w:rPr>
          <w:snapToGrid w:val="0"/>
          <w:kern w:val="22"/>
          <w:szCs w:val="22"/>
        </w:rPr>
        <w:t>6.</w:t>
      </w:r>
      <w:r>
        <w:rPr>
          <w:snapToGrid w:val="0"/>
          <w:kern w:val="22"/>
          <w:szCs w:val="22"/>
        </w:rPr>
        <w:tab/>
      </w:r>
      <w:r w:rsidRPr="00304E14">
        <w:rPr>
          <w:i/>
          <w:snapToGrid w:val="0"/>
          <w:kern w:val="22"/>
          <w:szCs w:val="22"/>
        </w:rPr>
        <w:t>принимает к сведению</w:t>
      </w:r>
      <w:r w:rsidRPr="00304E14">
        <w:rPr>
          <w:snapToGrid w:val="0"/>
          <w:kern w:val="22"/>
          <w:szCs w:val="22"/>
        </w:rPr>
        <w:t xml:space="preserve"> работу</w:t>
      </w:r>
      <w:r w:rsidR="000237BD" w:rsidRPr="000237BD">
        <w:rPr>
          <w:snapToGrid w:val="0"/>
          <w:kern w:val="22"/>
          <w:szCs w:val="22"/>
        </w:rPr>
        <w:t xml:space="preserve"> </w:t>
      </w:r>
      <w:r w:rsidR="000237BD" w:rsidRPr="00304E14">
        <w:rPr>
          <w:snapToGrid w:val="0"/>
          <w:kern w:val="22"/>
          <w:szCs w:val="22"/>
        </w:rPr>
        <w:t xml:space="preserve">по совершенствованию методологии </w:t>
      </w:r>
      <w:proofErr w:type="spellStart"/>
      <w:r w:rsidR="000237BD" w:rsidRPr="00304E14">
        <w:rPr>
          <w:snapToGrid w:val="0"/>
          <w:kern w:val="22"/>
          <w:szCs w:val="22"/>
        </w:rPr>
        <w:t>Рио-де-Жайнейрских</w:t>
      </w:r>
      <w:proofErr w:type="spellEnd"/>
      <w:r w:rsidR="000237BD" w:rsidRPr="00304E14">
        <w:rPr>
          <w:snapToGrid w:val="0"/>
          <w:kern w:val="22"/>
          <w:szCs w:val="22"/>
        </w:rPr>
        <w:t xml:space="preserve"> показателей</w:t>
      </w:r>
      <w:r w:rsidRPr="00304E14">
        <w:rPr>
          <w:snapToGrid w:val="0"/>
          <w:kern w:val="22"/>
          <w:szCs w:val="22"/>
        </w:rPr>
        <w:t>, предпринятую Комитетом содействия развитию Организации экономического сотрудничества и развития (ОЭСР), а также работу</w:t>
      </w:r>
      <w:r w:rsidRPr="00304E14">
        <w:t xml:space="preserve"> </w:t>
      </w:r>
      <w:r w:rsidR="000237BD" w:rsidRPr="00304E14">
        <w:rPr>
          <w:snapToGrid w:val="0"/>
          <w:kern w:val="22"/>
          <w:szCs w:val="22"/>
        </w:rPr>
        <w:t xml:space="preserve">Комитета по экологической политике Организации </w:t>
      </w:r>
      <w:r w:rsidR="000237BD">
        <w:rPr>
          <w:snapToGrid w:val="0"/>
          <w:kern w:val="22"/>
          <w:szCs w:val="22"/>
        </w:rPr>
        <w:t xml:space="preserve">в области </w:t>
      </w:r>
      <w:r w:rsidR="000237BD" w:rsidRPr="00304E14">
        <w:rPr>
          <w:snapToGrid w:val="0"/>
          <w:kern w:val="22"/>
          <w:szCs w:val="22"/>
        </w:rPr>
        <w:t>отслеживани</w:t>
      </w:r>
      <w:r w:rsidR="000237BD">
        <w:rPr>
          <w:snapToGrid w:val="0"/>
          <w:kern w:val="22"/>
          <w:szCs w:val="22"/>
        </w:rPr>
        <w:t>я</w:t>
      </w:r>
      <w:r w:rsidR="000237BD" w:rsidRPr="00304E14">
        <w:rPr>
          <w:snapToGrid w:val="0"/>
          <w:kern w:val="22"/>
          <w:szCs w:val="22"/>
        </w:rPr>
        <w:t xml:space="preserve"> экономических инструментов и мобилизуемых ими финансовых ресурсов </w:t>
      </w:r>
      <w:r w:rsidRPr="00304E14">
        <w:rPr>
          <w:snapToGrid w:val="0"/>
          <w:kern w:val="22"/>
          <w:szCs w:val="22"/>
        </w:rPr>
        <w:t xml:space="preserve">и </w:t>
      </w:r>
      <w:r w:rsidRPr="000237BD">
        <w:rPr>
          <w:i/>
          <w:snapToGrid w:val="0"/>
          <w:kern w:val="22"/>
          <w:szCs w:val="22"/>
        </w:rPr>
        <w:t>призывает</w:t>
      </w:r>
      <w:r w:rsidRPr="00304E14">
        <w:rPr>
          <w:snapToGrid w:val="0"/>
          <w:kern w:val="22"/>
          <w:szCs w:val="22"/>
        </w:rPr>
        <w:t xml:space="preserve"> Организацию продолжать и активизировать ее работу;</w:t>
      </w:r>
    </w:p>
    <w:p w:rsidR="00EB7408" w:rsidRDefault="00EB7408" w:rsidP="00EB7408">
      <w:pPr>
        <w:keepNext/>
        <w:suppressLineNumbers/>
        <w:tabs>
          <w:tab w:val="left" w:pos="1080"/>
        </w:tabs>
        <w:suppressAutoHyphens/>
        <w:kinsoku w:val="0"/>
        <w:overflowPunct w:val="0"/>
        <w:autoSpaceDE w:val="0"/>
        <w:autoSpaceDN w:val="0"/>
        <w:adjustRightInd w:val="0"/>
        <w:snapToGrid w:val="0"/>
        <w:spacing w:before="120" w:after="120"/>
        <w:ind w:firstLine="851"/>
        <w:jc w:val="center"/>
        <w:rPr>
          <w:b/>
          <w:snapToGrid w:val="0"/>
          <w:kern w:val="22"/>
          <w:szCs w:val="22"/>
        </w:rPr>
      </w:pPr>
      <w:r>
        <w:rPr>
          <w:b/>
          <w:snapToGrid w:val="0"/>
          <w:kern w:val="22"/>
          <w:szCs w:val="22"/>
        </w:rPr>
        <w:t>С.</w:t>
      </w:r>
      <w:r>
        <w:rPr>
          <w:b/>
          <w:snapToGrid w:val="0"/>
          <w:kern w:val="22"/>
          <w:szCs w:val="22"/>
        </w:rPr>
        <w:tab/>
      </w:r>
      <w:r>
        <w:rPr>
          <w:b/>
          <w:snapToGrid w:val="0"/>
          <w:kern w:val="22"/>
          <w:szCs w:val="22"/>
        </w:rPr>
        <w:tab/>
        <w:t xml:space="preserve">Взаимодействие </w:t>
      </w:r>
      <w:r w:rsidR="000237BD">
        <w:rPr>
          <w:b/>
          <w:snapToGrid w:val="0"/>
          <w:kern w:val="22"/>
          <w:szCs w:val="22"/>
        </w:rPr>
        <w:t xml:space="preserve">между </w:t>
      </w:r>
      <w:r>
        <w:rPr>
          <w:b/>
          <w:snapToGrid w:val="0"/>
          <w:kern w:val="22"/>
          <w:szCs w:val="22"/>
        </w:rPr>
        <w:t>конвенци</w:t>
      </w:r>
      <w:r w:rsidR="000237BD">
        <w:rPr>
          <w:b/>
          <w:snapToGrid w:val="0"/>
          <w:kern w:val="22"/>
          <w:szCs w:val="22"/>
        </w:rPr>
        <w:t>ями</w:t>
      </w:r>
    </w:p>
    <w:p w:rsidR="00EB7408" w:rsidRDefault="00EB7408" w:rsidP="00EB7408">
      <w:pPr>
        <w:spacing w:before="120" w:after="120"/>
        <w:ind w:firstLine="709"/>
        <w:rPr>
          <w:snapToGrid w:val="0"/>
          <w:kern w:val="22"/>
          <w:szCs w:val="22"/>
        </w:rPr>
      </w:pPr>
      <w:r>
        <w:rPr>
          <w:snapToGrid w:val="0"/>
          <w:kern w:val="22"/>
          <w:szCs w:val="22"/>
        </w:rPr>
        <w:t>7</w:t>
      </w:r>
      <w:r w:rsidRPr="00304E14">
        <w:rPr>
          <w:snapToGrid w:val="0"/>
          <w:kern w:val="22"/>
          <w:szCs w:val="22"/>
        </w:rPr>
        <w:t>.</w:t>
      </w:r>
      <w:r w:rsidRPr="00304E14">
        <w:rPr>
          <w:snapToGrid w:val="0"/>
          <w:kern w:val="22"/>
          <w:szCs w:val="22"/>
        </w:rPr>
        <w:tab/>
      </w:r>
      <w:r w:rsidRPr="00AB5174">
        <w:rPr>
          <w:i/>
          <w:snapToGrid w:val="0"/>
          <w:kern w:val="22"/>
          <w:szCs w:val="22"/>
        </w:rPr>
        <w:t>подчеркивает</w:t>
      </w:r>
      <w:r>
        <w:rPr>
          <w:snapToGrid w:val="0"/>
          <w:kern w:val="22"/>
          <w:szCs w:val="22"/>
        </w:rPr>
        <w:t xml:space="preserve">, что все </w:t>
      </w:r>
      <w:r w:rsidRPr="00AB5174">
        <w:rPr>
          <w:snapToGrid w:val="0"/>
          <w:kern w:val="22"/>
          <w:szCs w:val="22"/>
        </w:rPr>
        <w:t>стратеги</w:t>
      </w:r>
      <w:r>
        <w:rPr>
          <w:snapToGrid w:val="0"/>
          <w:kern w:val="22"/>
          <w:szCs w:val="22"/>
        </w:rPr>
        <w:t>и</w:t>
      </w:r>
      <w:r w:rsidRPr="00AB5174">
        <w:rPr>
          <w:snapToGrid w:val="0"/>
          <w:kern w:val="22"/>
          <w:szCs w:val="22"/>
        </w:rPr>
        <w:t xml:space="preserve"> мобилизации ресурсов </w:t>
      </w:r>
      <w:r>
        <w:rPr>
          <w:snapToGrid w:val="0"/>
          <w:kern w:val="22"/>
          <w:szCs w:val="22"/>
        </w:rPr>
        <w:t xml:space="preserve">должны </w:t>
      </w:r>
      <w:r w:rsidRPr="00AB5174">
        <w:rPr>
          <w:snapToGrid w:val="0"/>
          <w:kern w:val="22"/>
          <w:szCs w:val="22"/>
        </w:rPr>
        <w:t>стимулировать и использовать взаимодействие между конвенциями, включая взаимодействие в области систем мониторинга финансовых ресурсов, поступающих из различных источников</w:t>
      </w:r>
      <w:r w:rsidR="00172E45">
        <w:rPr>
          <w:snapToGrid w:val="0"/>
          <w:kern w:val="22"/>
          <w:szCs w:val="22"/>
        </w:rPr>
        <w:t>,</w:t>
      </w:r>
      <w:r w:rsidRPr="00AB5174">
        <w:rPr>
          <w:snapToGrid w:val="0"/>
          <w:kern w:val="22"/>
          <w:szCs w:val="22"/>
        </w:rPr>
        <w:t xml:space="preserve"> и осуществления конвенций;</w:t>
      </w:r>
    </w:p>
    <w:p w:rsidR="00EB7408" w:rsidRPr="00AA210F" w:rsidRDefault="00EB7408" w:rsidP="00EB7408">
      <w:pPr>
        <w:keepNext/>
        <w:suppressLineNumbers/>
        <w:tabs>
          <w:tab w:val="left" w:pos="1080"/>
        </w:tabs>
        <w:suppressAutoHyphens/>
        <w:kinsoku w:val="0"/>
        <w:overflowPunct w:val="0"/>
        <w:autoSpaceDE w:val="0"/>
        <w:autoSpaceDN w:val="0"/>
        <w:adjustRightInd w:val="0"/>
        <w:snapToGrid w:val="0"/>
        <w:spacing w:before="120" w:after="120"/>
        <w:ind w:firstLine="851"/>
        <w:jc w:val="center"/>
        <w:rPr>
          <w:b/>
          <w:snapToGrid w:val="0"/>
          <w:kern w:val="22"/>
          <w:szCs w:val="22"/>
        </w:rPr>
      </w:pPr>
      <w:r>
        <w:rPr>
          <w:b/>
          <w:snapToGrid w:val="0"/>
          <w:kern w:val="22"/>
          <w:szCs w:val="22"/>
          <w:lang w:val="en-US"/>
        </w:rPr>
        <w:t>D</w:t>
      </w:r>
      <w:r>
        <w:rPr>
          <w:b/>
          <w:snapToGrid w:val="0"/>
          <w:kern w:val="22"/>
          <w:szCs w:val="22"/>
        </w:rPr>
        <w:t>.</w:t>
      </w:r>
      <w:r>
        <w:rPr>
          <w:b/>
          <w:snapToGrid w:val="0"/>
          <w:kern w:val="22"/>
          <w:szCs w:val="22"/>
        </w:rPr>
        <w:tab/>
      </w:r>
      <w:r>
        <w:rPr>
          <w:b/>
          <w:snapToGrid w:val="0"/>
          <w:kern w:val="22"/>
          <w:szCs w:val="22"/>
        </w:rPr>
        <w:tab/>
      </w:r>
      <w:r w:rsidRPr="00AA210F">
        <w:rPr>
          <w:b/>
          <w:snapToGrid w:val="0"/>
          <w:kern w:val="22"/>
          <w:szCs w:val="22"/>
        </w:rPr>
        <w:t>Промежуточные этапы для полного выполнения целевой задачи 3 по сохранению и устойчивому использованию биоразнообразия, принятой в Айти</w:t>
      </w:r>
    </w:p>
    <w:p w:rsidR="00EB7408" w:rsidRDefault="00EB7408" w:rsidP="00EB7408">
      <w:pPr>
        <w:spacing w:after="120"/>
        <w:ind w:firstLine="709"/>
        <w:rPr>
          <w:snapToGrid w:val="0"/>
          <w:kern w:val="22"/>
          <w:szCs w:val="22"/>
        </w:rPr>
      </w:pPr>
      <w:r>
        <w:rPr>
          <w:snapToGrid w:val="0"/>
          <w:kern w:val="22"/>
          <w:szCs w:val="22"/>
        </w:rPr>
        <w:t>8</w:t>
      </w:r>
      <w:r w:rsidRPr="00304E14">
        <w:rPr>
          <w:snapToGrid w:val="0"/>
          <w:kern w:val="22"/>
          <w:szCs w:val="22"/>
        </w:rPr>
        <w:t>.</w:t>
      </w:r>
      <w:r w:rsidRPr="00304E14">
        <w:rPr>
          <w:snapToGrid w:val="0"/>
          <w:kern w:val="22"/>
          <w:szCs w:val="22"/>
        </w:rPr>
        <w:tab/>
      </w:r>
      <w:r w:rsidRPr="00304E14">
        <w:rPr>
          <w:i/>
          <w:snapToGrid w:val="0"/>
          <w:kern w:val="22"/>
          <w:szCs w:val="22"/>
        </w:rPr>
        <w:t>признает</w:t>
      </w:r>
      <w:r w:rsidRPr="00304E14">
        <w:rPr>
          <w:snapToGrid w:val="0"/>
          <w:kern w:val="22"/>
          <w:szCs w:val="22"/>
        </w:rPr>
        <w:t xml:space="preserve"> потенциальный вклад выполнения целевой задачи 3 по сохранению и устойчивому использованию биоразнообразия, принятой в Айти, в мобилизацию финансовых ресурсов из всех источников;</w:t>
      </w:r>
    </w:p>
    <w:p w:rsidR="00EB7408" w:rsidRPr="00304E14" w:rsidRDefault="00EB7408" w:rsidP="00EB7408">
      <w:pPr>
        <w:spacing w:after="120"/>
        <w:ind w:firstLine="709"/>
        <w:rPr>
          <w:snapToGrid w:val="0"/>
          <w:kern w:val="22"/>
          <w:szCs w:val="22"/>
        </w:rPr>
      </w:pPr>
      <w:proofErr w:type="gramStart"/>
      <w:r>
        <w:rPr>
          <w:snapToGrid w:val="0"/>
          <w:kern w:val="22"/>
          <w:szCs w:val="22"/>
        </w:rPr>
        <w:t>9</w:t>
      </w:r>
      <w:r>
        <w:rPr>
          <w:i/>
          <w:snapToGrid w:val="0"/>
          <w:kern w:val="22"/>
          <w:szCs w:val="22"/>
        </w:rPr>
        <w:t>.</w:t>
      </w:r>
      <w:r>
        <w:rPr>
          <w:i/>
          <w:snapToGrid w:val="0"/>
          <w:kern w:val="22"/>
          <w:szCs w:val="22"/>
        </w:rPr>
        <w:tab/>
      </w:r>
      <w:r w:rsidRPr="00304E14">
        <w:rPr>
          <w:i/>
          <w:snapToGrid w:val="0"/>
          <w:kern w:val="22"/>
          <w:szCs w:val="22"/>
        </w:rPr>
        <w:t xml:space="preserve">отмечает с </w:t>
      </w:r>
      <w:r w:rsidR="00172E45">
        <w:rPr>
          <w:i/>
          <w:snapToGrid w:val="0"/>
          <w:kern w:val="22"/>
          <w:szCs w:val="22"/>
        </w:rPr>
        <w:t>о</w:t>
      </w:r>
      <w:r w:rsidRPr="00304E14">
        <w:rPr>
          <w:i/>
          <w:snapToGrid w:val="0"/>
          <w:kern w:val="22"/>
          <w:szCs w:val="22"/>
        </w:rPr>
        <w:t>беспоко</w:t>
      </w:r>
      <w:r w:rsidR="00172E45">
        <w:rPr>
          <w:i/>
          <w:snapToGrid w:val="0"/>
          <w:kern w:val="22"/>
          <w:szCs w:val="22"/>
        </w:rPr>
        <w:t>енностью</w:t>
      </w:r>
      <w:r w:rsidRPr="00304E14">
        <w:rPr>
          <w:i/>
          <w:snapToGrid w:val="0"/>
          <w:kern w:val="22"/>
          <w:szCs w:val="22"/>
        </w:rPr>
        <w:t xml:space="preserve"> </w:t>
      </w:r>
      <w:r w:rsidR="00172E45" w:rsidRPr="00304E14">
        <w:rPr>
          <w:snapToGrid w:val="0"/>
          <w:kern w:val="22"/>
          <w:szCs w:val="22"/>
        </w:rPr>
        <w:t>ограничен</w:t>
      </w:r>
      <w:r w:rsidR="00172E45">
        <w:rPr>
          <w:snapToGrid w:val="0"/>
          <w:kern w:val="22"/>
          <w:szCs w:val="22"/>
        </w:rPr>
        <w:t>ный</w:t>
      </w:r>
      <w:r w:rsidRPr="00304E14">
        <w:rPr>
          <w:snapToGrid w:val="0"/>
          <w:kern w:val="22"/>
          <w:szCs w:val="22"/>
        </w:rPr>
        <w:t xml:space="preserve"> прогресс, достигнут</w:t>
      </w:r>
      <w:r w:rsidR="00172E45">
        <w:rPr>
          <w:snapToGrid w:val="0"/>
          <w:kern w:val="22"/>
          <w:szCs w:val="22"/>
        </w:rPr>
        <w:t>ый</w:t>
      </w:r>
      <w:r w:rsidRPr="00304E14">
        <w:rPr>
          <w:snapToGrid w:val="0"/>
          <w:kern w:val="22"/>
          <w:szCs w:val="22"/>
        </w:rPr>
        <w:t xml:space="preserve"> в выполнении целевой задачи 3 по сохранению и устойчивому использованию биоразнообразия, принятой в Айти, и промежуточных этапов ее выполнения, в частности в том, что касается устранения, поэтапной ликвидации или реформирования стимулов, включая субсидии, оказывающих пагубное воздействие на биоразнообразие, в соответствии и в согласовании с Конвенцией и другими соответствующими международными обязательствами и с учетом</w:t>
      </w:r>
      <w:proofErr w:type="gramEnd"/>
      <w:r w:rsidRPr="00304E14">
        <w:rPr>
          <w:snapToGrid w:val="0"/>
          <w:kern w:val="22"/>
          <w:szCs w:val="22"/>
        </w:rPr>
        <w:t xml:space="preserve"> национальных социально-экономических условий;</w:t>
      </w:r>
    </w:p>
    <w:p w:rsidR="00EB7408" w:rsidRPr="00304E14" w:rsidRDefault="00EB7408" w:rsidP="00EB7408">
      <w:pPr>
        <w:spacing w:after="120"/>
        <w:ind w:firstLine="709"/>
        <w:rPr>
          <w:snapToGrid w:val="0"/>
          <w:kern w:val="22"/>
          <w:szCs w:val="22"/>
        </w:rPr>
      </w:pPr>
      <w:r>
        <w:rPr>
          <w:snapToGrid w:val="0"/>
          <w:kern w:val="22"/>
          <w:szCs w:val="22"/>
        </w:rPr>
        <w:t>10</w:t>
      </w:r>
      <w:r w:rsidRPr="00304E14">
        <w:rPr>
          <w:snapToGrid w:val="0"/>
          <w:kern w:val="22"/>
          <w:szCs w:val="22"/>
        </w:rPr>
        <w:t>.</w:t>
      </w:r>
      <w:r w:rsidRPr="00304E14">
        <w:rPr>
          <w:snapToGrid w:val="0"/>
          <w:kern w:val="22"/>
          <w:szCs w:val="22"/>
        </w:rPr>
        <w:tab/>
      </w:r>
      <w:r w:rsidRPr="00304E14">
        <w:rPr>
          <w:i/>
          <w:snapToGrid w:val="0"/>
          <w:kern w:val="22"/>
          <w:szCs w:val="22"/>
        </w:rPr>
        <w:t>призывает</w:t>
      </w:r>
      <w:r w:rsidRPr="00304E14">
        <w:rPr>
          <w:snapToGrid w:val="0"/>
          <w:kern w:val="22"/>
          <w:szCs w:val="22"/>
        </w:rPr>
        <w:t xml:space="preserve"> </w:t>
      </w:r>
      <w:proofErr w:type="gramStart"/>
      <w:r w:rsidRPr="00304E14">
        <w:rPr>
          <w:snapToGrid w:val="0"/>
          <w:kern w:val="22"/>
          <w:szCs w:val="22"/>
        </w:rPr>
        <w:t>Стороны</w:t>
      </w:r>
      <w:proofErr w:type="gramEnd"/>
      <w:r w:rsidRPr="00304E14">
        <w:rPr>
          <w:snapToGrid w:val="0"/>
          <w:kern w:val="22"/>
          <w:szCs w:val="22"/>
        </w:rPr>
        <w:t xml:space="preserve"> и правительства активизировать деятельность по осуществлению мер для полного выполнения целевой задачи 3 по сохранению и устойчивому использованию биоразнообразия, принятой в Айти, принимая во внимание в качестве </w:t>
      </w:r>
      <w:proofErr w:type="spellStart"/>
      <w:r w:rsidRPr="00304E14">
        <w:rPr>
          <w:snapToGrid w:val="0"/>
          <w:kern w:val="22"/>
          <w:szCs w:val="22"/>
        </w:rPr>
        <w:t>гибкои</w:t>
      </w:r>
      <w:proofErr w:type="spellEnd"/>
      <w:r w:rsidRPr="00304E14">
        <w:rPr>
          <w:snapToGrid w:val="0"/>
          <w:kern w:val="22"/>
          <w:szCs w:val="22"/>
        </w:rPr>
        <w:t xml:space="preserve">̆ структуры промежуточные этапы, утвержденные </w:t>
      </w:r>
      <w:proofErr w:type="spellStart"/>
      <w:r w:rsidRPr="00304E14">
        <w:rPr>
          <w:snapToGrid w:val="0"/>
          <w:kern w:val="22"/>
          <w:szCs w:val="22"/>
        </w:rPr>
        <w:t>Конференциеи</w:t>
      </w:r>
      <w:proofErr w:type="spellEnd"/>
      <w:r w:rsidRPr="00304E14">
        <w:rPr>
          <w:snapToGrid w:val="0"/>
          <w:kern w:val="22"/>
          <w:szCs w:val="22"/>
        </w:rPr>
        <w:t>̆ Сторон на ее 12-м совещании</w:t>
      </w:r>
      <w:r w:rsidRPr="00427695">
        <w:rPr>
          <w:rStyle w:val="Appelnotedebasdep"/>
          <w:rFonts w:eastAsiaTheme="majorEastAsia"/>
          <w:snapToGrid w:val="0"/>
          <w:kern w:val="22"/>
          <w:sz w:val="22"/>
          <w:szCs w:val="22"/>
        </w:rPr>
        <w:footnoteReference w:id="3"/>
      </w:r>
      <w:r w:rsidRPr="00304E14">
        <w:rPr>
          <w:snapToGrid w:val="0"/>
          <w:kern w:val="22"/>
          <w:szCs w:val="22"/>
        </w:rPr>
        <w:t xml:space="preserve">, в соответствии и в согласовании с </w:t>
      </w:r>
      <w:proofErr w:type="spellStart"/>
      <w:r w:rsidRPr="00304E14">
        <w:rPr>
          <w:snapToGrid w:val="0"/>
          <w:kern w:val="22"/>
          <w:szCs w:val="22"/>
        </w:rPr>
        <w:t>Конвенциеи</w:t>
      </w:r>
      <w:proofErr w:type="spellEnd"/>
      <w:r w:rsidRPr="00304E14">
        <w:rPr>
          <w:snapToGrid w:val="0"/>
          <w:kern w:val="22"/>
          <w:szCs w:val="22"/>
        </w:rPr>
        <w:t>̆ и другими соответствующими международными обязательствами и с учетом национальных социально-экономических условий;</w:t>
      </w:r>
    </w:p>
    <w:p w:rsidR="00EB7408" w:rsidRPr="00304E14" w:rsidRDefault="00EB7408" w:rsidP="00EB7408">
      <w:pPr>
        <w:spacing w:after="120"/>
        <w:ind w:firstLine="709"/>
        <w:rPr>
          <w:snapToGrid w:val="0"/>
          <w:kern w:val="22"/>
          <w:szCs w:val="22"/>
        </w:rPr>
      </w:pPr>
      <w:proofErr w:type="gramStart"/>
      <w:r w:rsidRPr="00304E14">
        <w:rPr>
          <w:snapToGrid w:val="0"/>
          <w:kern w:val="22"/>
          <w:szCs w:val="22"/>
        </w:rPr>
        <w:t>1</w:t>
      </w:r>
      <w:r>
        <w:rPr>
          <w:snapToGrid w:val="0"/>
          <w:kern w:val="22"/>
          <w:szCs w:val="22"/>
        </w:rPr>
        <w:t>1</w:t>
      </w:r>
      <w:r w:rsidRPr="00304E14">
        <w:rPr>
          <w:snapToGrid w:val="0"/>
          <w:kern w:val="22"/>
          <w:szCs w:val="22"/>
        </w:rPr>
        <w:t>.</w:t>
      </w:r>
      <w:r w:rsidRPr="00304E14">
        <w:rPr>
          <w:snapToGrid w:val="0"/>
          <w:kern w:val="22"/>
          <w:szCs w:val="22"/>
        </w:rPr>
        <w:tab/>
      </w:r>
      <w:r w:rsidRPr="00304E14">
        <w:rPr>
          <w:i/>
          <w:snapToGrid w:val="0"/>
          <w:kern w:val="22"/>
          <w:szCs w:val="22"/>
        </w:rPr>
        <w:t>приветствует</w:t>
      </w:r>
      <w:r w:rsidRPr="00304E14">
        <w:rPr>
          <w:snapToGrid w:val="0"/>
          <w:kern w:val="22"/>
          <w:szCs w:val="22"/>
        </w:rPr>
        <w:t xml:space="preserve"> работу соответствующих организаций и инициатив, в том числе Инициативы по финансированию биоразнообразия Программы развития Организации Объединенных Наций, Программы Организации Объединенных Наций по окружающей среде, Организации экономического сотрудничества и развития, Международного института устойчивого развития и других партнеров по обеспечению аналитической и технической помощи и созданию потенциала для выполнения целевой задачи 3 по сохранению и устойчивому использованию биоразнообразия, принятой в</w:t>
      </w:r>
      <w:proofErr w:type="gramEnd"/>
      <w:r w:rsidRPr="00304E14">
        <w:rPr>
          <w:snapToGrid w:val="0"/>
          <w:kern w:val="22"/>
          <w:szCs w:val="22"/>
        </w:rPr>
        <w:t xml:space="preserve"> Айти, и предлагает им продолжать и далее активизировать эту работу; </w:t>
      </w:r>
    </w:p>
    <w:p w:rsidR="00EB7408" w:rsidRPr="00304E14" w:rsidRDefault="00EB7408" w:rsidP="00EB7408">
      <w:pPr>
        <w:spacing w:after="120"/>
        <w:ind w:firstLine="709"/>
        <w:rPr>
          <w:snapToGrid w:val="0"/>
          <w:kern w:val="22"/>
          <w:szCs w:val="22"/>
        </w:rPr>
      </w:pPr>
      <w:proofErr w:type="gramStart"/>
      <w:r w:rsidRPr="00304E14">
        <w:rPr>
          <w:snapToGrid w:val="0"/>
          <w:kern w:val="22"/>
          <w:szCs w:val="22"/>
        </w:rPr>
        <w:t>1</w:t>
      </w:r>
      <w:r>
        <w:rPr>
          <w:snapToGrid w:val="0"/>
          <w:kern w:val="22"/>
          <w:szCs w:val="22"/>
        </w:rPr>
        <w:t>2</w:t>
      </w:r>
      <w:r w:rsidRPr="00304E14">
        <w:rPr>
          <w:snapToGrid w:val="0"/>
          <w:kern w:val="22"/>
          <w:szCs w:val="22"/>
        </w:rPr>
        <w:t>.</w:t>
      </w:r>
      <w:r w:rsidRPr="00304E14">
        <w:rPr>
          <w:snapToGrid w:val="0"/>
          <w:kern w:val="22"/>
          <w:szCs w:val="22"/>
        </w:rPr>
        <w:tab/>
      </w:r>
      <w:r w:rsidRPr="00304E14">
        <w:rPr>
          <w:i/>
          <w:snapToGrid w:val="0"/>
          <w:kern w:val="22"/>
          <w:szCs w:val="22"/>
        </w:rPr>
        <w:t>отмечает</w:t>
      </w:r>
      <w:r w:rsidRPr="00304E14">
        <w:rPr>
          <w:snapToGrid w:val="0"/>
          <w:kern w:val="22"/>
          <w:szCs w:val="22"/>
        </w:rPr>
        <w:t xml:space="preserve"> важн</w:t>
      </w:r>
      <w:r w:rsidR="009620C2">
        <w:rPr>
          <w:snapToGrid w:val="0"/>
          <w:kern w:val="22"/>
          <w:szCs w:val="22"/>
        </w:rPr>
        <w:t>ую роль</w:t>
      </w:r>
      <w:r w:rsidRPr="00304E14">
        <w:rPr>
          <w:snapToGrid w:val="0"/>
          <w:kern w:val="22"/>
          <w:szCs w:val="22"/>
        </w:rPr>
        <w:t xml:space="preserve"> национальных исследований в выявлении вредных стимулов и возможностей для устранения или реформирования </w:t>
      </w:r>
      <w:r w:rsidR="009620C2">
        <w:rPr>
          <w:snapToGrid w:val="0"/>
          <w:kern w:val="22"/>
          <w:szCs w:val="22"/>
        </w:rPr>
        <w:t xml:space="preserve">этих </w:t>
      </w:r>
      <w:r w:rsidRPr="00304E14">
        <w:rPr>
          <w:snapToGrid w:val="0"/>
          <w:kern w:val="22"/>
          <w:szCs w:val="22"/>
        </w:rPr>
        <w:t xml:space="preserve">вредных стимулов, включая субсидии, а также в изучении и выявлении наиболее эффективных мер политики и </w:t>
      </w:r>
      <w:r w:rsidRPr="00304E14">
        <w:rPr>
          <w:i/>
          <w:snapToGrid w:val="0"/>
          <w:kern w:val="22"/>
          <w:szCs w:val="22"/>
        </w:rPr>
        <w:t>предлагает</w:t>
      </w:r>
      <w:r w:rsidRPr="00304E14">
        <w:rPr>
          <w:snapToGrid w:val="0"/>
          <w:kern w:val="22"/>
          <w:szCs w:val="22"/>
        </w:rPr>
        <w:t xml:space="preserve"> </w:t>
      </w:r>
      <w:r w:rsidRPr="00304E14">
        <w:rPr>
          <w:snapToGrid w:val="0"/>
          <w:kern w:val="22"/>
          <w:szCs w:val="22"/>
        </w:rPr>
        <w:lastRenderedPageBreak/>
        <w:t>заинтересованным организациям, таким как организации и инициативы, перечисленные в предыдущем пункте, рассмотреть возможность осуществления систематической компиляции и анализа существующих исследований с целью определения методов надлежащей практики для</w:t>
      </w:r>
      <w:proofErr w:type="gramEnd"/>
      <w:r w:rsidRPr="00304E14">
        <w:rPr>
          <w:snapToGrid w:val="0"/>
          <w:kern w:val="22"/>
          <w:szCs w:val="22"/>
        </w:rPr>
        <w:t xml:space="preserve"> выявления вредных стимулов и разработки надлежащих ответных мер политики, а также разработки стандарта или </w:t>
      </w:r>
      <w:r w:rsidR="009620C2">
        <w:rPr>
          <w:snapToGrid w:val="0"/>
          <w:kern w:val="22"/>
          <w:szCs w:val="22"/>
        </w:rPr>
        <w:t>модели</w:t>
      </w:r>
      <w:r w:rsidRPr="00304E14">
        <w:rPr>
          <w:snapToGrid w:val="0"/>
          <w:kern w:val="22"/>
          <w:szCs w:val="22"/>
        </w:rPr>
        <w:t xml:space="preserve"> для так</w:t>
      </w:r>
      <w:r w:rsidR="00BF1C8C">
        <w:rPr>
          <w:snapToGrid w:val="0"/>
          <w:kern w:val="22"/>
          <w:szCs w:val="22"/>
        </w:rPr>
        <w:t>их</w:t>
      </w:r>
      <w:r w:rsidRPr="00304E14">
        <w:rPr>
          <w:snapToGrid w:val="0"/>
          <w:kern w:val="22"/>
          <w:szCs w:val="22"/>
        </w:rPr>
        <w:t xml:space="preserve"> стандарт</w:t>
      </w:r>
      <w:r w:rsidR="00BF1C8C">
        <w:rPr>
          <w:snapToGrid w:val="0"/>
          <w:kern w:val="22"/>
          <w:szCs w:val="22"/>
        </w:rPr>
        <w:t>ов</w:t>
      </w:r>
      <w:r w:rsidRPr="00304E14">
        <w:rPr>
          <w:snapToGrid w:val="0"/>
          <w:kern w:val="22"/>
          <w:szCs w:val="22"/>
        </w:rPr>
        <w:t xml:space="preserve"> в качестве добровольного руководства;</w:t>
      </w:r>
    </w:p>
    <w:p w:rsidR="00EB7408" w:rsidRPr="00304E14" w:rsidRDefault="00EB7408" w:rsidP="00EB7408">
      <w:pPr>
        <w:spacing w:after="120"/>
        <w:ind w:firstLine="709"/>
        <w:rPr>
          <w:snapToGrid w:val="0"/>
          <w:kern w:val="22"/>
          <w:szCs w:val="22"/>
        </w:rPr>
      </w:pPr>
      <w:r>
        <w:rPr>
          <w:snapToGrid w:val="0"/>
          <w:kern w:val="22"/>
          <w:szCs w:val="22"/>
        </w:rPr>
        <w:t>13</w:t>
      </w:r>
      <w:r w:rsidRPr="00304E14">
        <w:rPr>
          <w:snapToGrid w:val="0"/>
          <w:kern w:val="22"/>
          <w:szCs w:val="22"/>
        </w:rPr>
        <w:t>.</w:t>
      </w:r>
      <w:r w:rsidRPr="00304E14">
        <w:rPr>
          <w:snapToGrid w:val="0"/>
          <w:kern w:val="22"/>
          <w:szCs w:val="22"/>
        </w:rPr>
        <w:tab/>
      </w:r>
      <w:r w:rsidRPr="00304E14">
        <w:rPr>
          <w:i/>
          <w:snapToGrid w:val="0"/>
          <w:kern w:val="22"/>
          <w:szCs w:val="22"/>
        </w:rPr>
        <w:t>поручает</w:t>
      </w:r>
      <w:r w:rsidRPr="00304E14">
        <w:rPr>
          <w:snapToGrid w:val="0"/>
          <w:kern w:val="22"/>
          <w:szCs w:val="22"/>
        </w:rPr>
        <w:t xml:space="preserve"> Исполнительному секретарю </w:t>
      </w:r>
      <w:r>
        <w:rPr>
          <w:snapToGrid w:val="0"/>
          <w:kern w:val="22"/>
          <w:szCs w:val="22"/>
        </w:rPr>
        <w:t xml:space="preserve">продолжать сотрудничать и укреплять </w:t>
      </w:r>
      <w:r w:rsidRPr="00304E14">
        <w:rPr>
          <w:snapToGrid w:val="0"/>
          <w:kern w:val="22"/>
          <w:szCs w:val="22"/>
        </w:rPr>
        <w:t>взаимодейств</w:t>
      </w:r>
      <w:r>
        <w:rPr>
          <w:snapToGrid w:val="0"/>
          <w:kern w:val="22"/>
          <w:szCs w:val="22"/>
        </w:rPr>
        <w:t xml:space="preserve">ие </w:t>
      </w:r>
      <w:r w:rsidRPr="00304E14">
        <w:rPr>
          <w:snapToGrid w:val="0"/>
          <w:kern w:val="22"/>
          <w:szCs w:val="22"/>
        </w:rPr>
        <w:t>с партнерами, способствуя работе, упомянутой выше в пунктах 4, 1</w:t>
      </w:r>
      <w:r w:rsidR="00200B3E" w:rsidRPr="00E643E3">
        <w:rPr>
          <w:snapToGrid w:val="0"/>
          <w:kern w:val="22"/>
          <w:szCs w:val="22"/>
        </w:rPr>
        <w:t>1</w:t>
      </w:r>
      <w:r w:rsidRPr="00304E14">
        <w:rPr>
          <w:snapToGrid w:val="0"/>
          <w:kern w:val="22"/>
          <w:szCs w:val="22"/>
        </w:rPr>
        <w:t xml:space="preserve"> и 1</w:t>
      </w:r>
      <w:r w:rsidR="00200B3E" w:rsidRPr="00E643E3">
        <w:rPr>
          <w:snapToGrid w:val="0"/>
          <w:kern w:val="22"/>
          <w:szCs w:val="22"/>
        </w:rPr>
        <w:t>2</w:t>
      </w:r>
      <w:r w:rsidRPr="00304E14">
        <w:rPr>
          <w:snapToGrid w:val="0"/>
          <w:kern w:val="22"/>
          <w:szCs w:val="22"/>
        </w:rPr>
        <w:t xml:space="preserve">. </w:t>
      </w:r>
    </w:p>
    <w:p w:rsidR="00EB7408" w:rsidRPr="00CB162B" w:rsidRDefault="00EB7408" w:rsidP="00EB7408">
      <w:pPr>
        <w:keepNext/>
        <w:suppressLineNumbers/>
        <w:tabs>
          <w:tab w:val="left" w:pos="1080"/>
        </w:tabs>
        <w:suppressAutoHyphens/>
        <w:kinsoku w:val="0"/>
        <w:overflowPunct w:val="0"/>
        <w:autoSpaceDE w:val="0"/>
        <w:autoSpaceDN w:val="0"/>
        <w:adjustRightInd w:val="0"/>
        <w:snapToGrid w:val="0"/>
        <w:spacing w:line="238" w:lineRule="auto"/>
        <w:ind w:firstLine="851"/>
        <w:jc w:val="center"/>
        <w:rPr>
          <w:b/>
          <w:snapToGrid w:val="0"/>
          <w:kern w:val="22"/>
          <w:szCs w:val="22"/>
        </w:rPr>
      </w:pPr>
      <w:r>
        <w:rPr>
          <w:b/>
          <w:snapToGrid w:val="0"/>
          <w:kern w:val="22"/>
          <w:szCs w:val="22"/>
          <w:lang w:val="en-US"/>
        </w:rPr>
        <w:t>E</w:t>
      </w:r>
      <w:r>
        <w:rPr>
          <w:b/>
          <w:snapToGrid w:val="0"/>
          <w:kern w:val="22"/>
          <w:szCs w:val="22"/>
        </w:rPr>
        <w:t>.</w:t>
      </w:r>
      <w:r>
        <w:rPr>
          <w:b/>
          <w:snapToGrid w:val="0"/>
          <w:kern w:val="22"/>
          <w:szCs w:val="22"/>
        </w:rPr>
        <w:tab/>
      </w:r>
      <w:r>
        <w:rPr>
          <w:b/>
          <w:snapToGrid w:val="0"/>
          <w:kern w:val="22"/>
          <w:szCs w:val="22"/>
        </w:rPr>
        <w:tab/>
      </w:r>
      <w:r w:rsidRPr="00894A19">
        <w:rPr>
          <w:b/>
          <w:snapToGrid w:val="0"/>
          <w:kern w:val="22"/>
          <w:szCs w:val="22"/>
        </w:rPr>
        <w:t>Компонент мобилизации ресурсов в рамочной программе в области биоразнообразия на период после 2020 года</w:t>
      </w:r>
    </w:p>
    <w:p w:rsidR="00EB7408" w:rsidRPr="00304E14" w:rsidRDefault="00EB7408" w:rsidP="00EB7408">
      <w:pPr>
        <w:suppressLineNumbers/>
        <w:suppressAutoHyphens/>
        <w:kinsoku w:val="0"/>
        <w:overflowPunct w:val="0"/>
        <w:autoSpaceDE w:val="0"/>
        <w:autoSpaceDN w:val="0"/>
        <w:adjustRightInd w:val="0"/>
        <w:snapToGrid w:val="0"/>
        <w:spacing w:before="120" w:after="120" w:line="232" w:lineRule="auto"/>
        <w:ind w:firstLine="698"/>
        <w:rPr>
          <w:snapToGrid w:val="0"/>
          <w:kern w:val="22"/>
          <w:szCs w:val="22"/>
        </w:rPr>
      </w:pPr>
      <w:proofErr w:type="gramStart"/>
      <w:r w:rsidRPr="00304E14">
        <w:rPr>
          <w:snapToGrid w:val="0"/>
          <w:kern w:val="22"/>
          <w:szCs w:val="22"/>
        </w:rPr>
        <w:t>1</w:t>
      </w:r>
      <w:r>
        <w:rPr>
          <w:snapToGrid w:val="0"/>
          <w:kern w:val="22"/>
          <w:szCs w:val="22"/>
        </w:rPr>
        <w:t>4</w:t>
      </w:r>
      <w:r w:rsidRPr="00304E14">
        <w:rPr>
          <w:snapToGrid w:val="0"/>
          <w:kern w:val="22"/>
          <w:szCs w:val="22"/>
        </w:rPr>
        <w:t>.</w:t>
      </w:r>
      <w:r w:rsidRPr="00304E14">
        <w:rPr>
          <w:snapToGrid w:val="0"/>
          <w:kern w:val="22"/>
          <w:szCs w:val="22"/>
        </w:rPr>
        <w:tab/>
      </w:r>
      <w:r w:rsidRPr="00304E14">
        <w:rPr>
          <w:i/>
          <w:snapToGrid w:val="0"/>
          <w:kern w:val="22"/>
          <w:szCs w:val="22"/>
        </w:rPr>
        <w:t>утверждает,</w:t>
      </w:r>
      <w:r w:rsidRPr="00304E14">
        <w:rPr>
          <w:snapToGrid w:val="0"/>
          <w:kern w:val="22"/>
          <w:szCs w:val="22"/>
        </w:rPr>
        <w:t xml:space="preserve"> что мобилизация ресурсов будет неотъемлемой частью глобальной рамочной программы в области биоразнообразия на период после 2020 года, которая будет принята Конференцией Сторон Конвенции на ее 15-м совещании, и </w:t>
      </w:r>
      <w:r w:rsidRPr="00304E14">
        <w:rPr>
          <w:i/>
          <w:snapToGrid w:val="0"/>
          <w:kern w:val="22"/>
          <w:szCs w:val="22"/>
        </w:rPr>
        <w:t>постановляет</w:t>
      </w:r>
      <w:r w:rsidRPr="00304E14">
        <w:rPr>
          <w:snapToGrid w:val="0"/>
          <w:kern w:val="22"/>
          <w:szCs w:val="22"/>
        </w:rPr>
        <w:t xml:space="preserve"> инициировать подготовку этого компонента на раннем этапе в процессе разработки рамочной программы в полном соответствии и координации с общим процессом, связанным с рамочной программой в области биоразнообразия на период</w:t>
      </w:r>
      <w:proofErr w:type="gramEnd"/>
      <w:r w:rsidRPr="00304E14">
        <w:rPr>
          <w:snapToGrid w:val="0"/>
          <w:kern w:val="22"/>
          <w:szCs w:val="22"/>
        </w:rPr>
        <w:t xml:space="preserve"> после 2020 года, как согласовано в решении 14/</w:t>
      </w:r>
      <w:r w:rsidR="00200B3E" w:rsidRPr="00E643E3">
        <w:rPr>
          <w:snapToGrid w:val="0"/>
          <w:kern w:val="22"/>
          <w:szCs w:val="22"/>
        </w:rPr>
        <w:t>34</w:t>
      </w:r>
      <w:r w:rsidRPr="00304E14">
        <w:rPr>
          <w:snapToGrid w:val="0"/>
          <w:kern w:val="22"/>
          <w:szCs w:val="22"/>
        </w:rPr>
        <w:t>;</w:t>
      </w:r>
    </w:p>
    <w:p w:rsidR="00EB7408" w:rsidRPr="00E041BD" w:rsidRDefault="00EB7408" w:rsidP="00EB7408">
      <w:pPr>
        <w:ind w:firstLine="698"/>
        <w:rPr>
          <w:snapToGrid w:val="0"/>
          <w:kern w:val="22"/>
          <w:szCs w:val="22"/>
        </w:rPr>
      </w:pPr>
      <w:r w:rsidRPr="00304E14">
        <w:rPr>
          <w:snapToGrid w:val="0"/>
          <w:kern w:val="22"/>
          <w:szCs w:val="22"/>
        </w:rPr>
        <w:t>1</w:t>
      </w:r>
      <w:r>
        <w:rPr>
          <w:snapToGrid w:val="0"/>
          <w:kern w:val="22"/>
          <w:szCs w:val="22"/>
        </w:rPr>
        <w:t>5</w:t>
      </w:r>
      <w:r w:rsidRPr="00304E14">
        <w:rPr>
          <w:snapToGrid w:val="0"/>
          <w:kern w:val="22"/>
          <w:szCs w:val="22"/>
        </w:rPr>
        <w:t>.</w:t>
      </w:r>
      <w:r w:rsidRPr="00304E14">
        <w:rPr>
          <w:snapToGrid w:val="0"/>
          <w:kern w:val="22"/>
          <w:szCs w:val="22"/>
        </w:rPr>
        <w:tab/>
      </w:r>
      <w:r w:rsidRPr="009D1EF5">
        <w:rPr>
          <w:i/>
          <w:snapToGrid w:val="0"/>
          <w:kern w:val="22"/>
          <w:szCs w:val="22"/>
        </w:rPr>
        <w:t xml:space="preserve">поручает </w:t>
      </w:r>
      <w:r w:rsidRPr="009D1EF5">
        <w:rPr>
          <w:snapToGrid w:val="0"/>
          <w:kern w:val="22"/>
          <w:szCs w:val="22"/>
        </w:rPr>
        <w:t xml:space="preserve">Исполнительному секретарю при условии наличия финансовых ресурсов заключить договор с группой из трех или пяти экспертов с равным представительством Сторон, являющихся развивающимися и развитыми странами, и одним представителем из международной неправительственной организации для выполнения нижеперечисленных мероприятий и подготовки докладов, с </w:t>
      </w:r>
      <w:proofErr w:type="gramStart"/>
      <w:r w:rsidRPr="009D1EF5">
        <w:rPr>
          <w:snapToGrid w:val="0"/>
          <w:kern w:val="22"/>
          <w:szCs w:val="22"/>
        </w:rPr>
        <w:t>тем</w:t>
      </w:r>
      <w:proofErr w:type="gramEnd"/>
      <w:r w:rsidRPr="009D1EF5">
        <w:rPr>
          <w:snapToGrid w:val="0"/>
          <w:kern w:val="22"/>
          <w:szCs w:val="22"/>
        </w:rPr>
        <w:t xml:space="preserve"> чтобы способствовать процессу подготовки глобальной рамочной программы на период после 2020 года </w:t>
      </w:r>
      <w:r>
        <w:rPr>
          <w:snapToGrid w:val="0"/>
          <w:kern w:val="22"/>
          <w:szCs w:val="22"/>
        </w:rPr>
        <w:t xml:space="preserve">в целом </w:t>
      </w:r>
      <w:r w:rsidRPr="009D1EF5">
        <w:rPr>
          <w:snapToGrid w:val="0"/>
          <w:kern w:val="22"/>
          <w:szCs w:val="22"/>
        </w:rPr>
        <w:t xml:space="preserve">и </w:t>
      </w:r>
      <w:r>
        <w:rPr>
          <w:snapToGrid w:val="0"/>
          <w:kern w:val="22"/>
          <w:szCs w:val="22"/>
        </w:rPr>
        <w:t xml:space="preserve">для рассмотрения </w:t>
      </w:r>
      <w:r w:rsidRPr="009D1EF5">
        <w:rPr>
          <w:snapToGrid w:val="0"/>
          <w:kern w:val="22"/>
          <w:szCs w:val="22"/>
        </w:rPr>
        <w:t>рабочей групп</w:t>
      </w:r>
      <w:r>
        <w:rPr>
          <w:snapToGrid w:val="0"/>
          <w:kern w:val="22"/>
          <w:szCs w:val="22"/>
        </w:rPr>
        <w:t xml:space="preserve">ой </w:t>
      </w:r>
      <w:r w:rsidRPr="009D1EF5">
        <w:rPr>
          <w:snapToGrid w:val="0"/>
          <w:kern w:val="22"/>
          <w:szCs w:val="22"/>
        </w:rPr>
        <w:t>открытого состава</w:t>
      </w:r>
      <w:r>
        <w:rPr>
          <w:snapToGrid w:val="0"/>
          <w:kern w:val="22"/>
          <w:szCs w:val="22"/>
        </w:rPr>
        <w:t xml:space="preserve"> и </w:t>
      </w:r>
      <w:r w:rsidRPr="009D1EF5">
        <w:rPr>
          <w:snapToGrid w:val="0"/>
          <w:kern w:val="22"/>
          <w:szCs w:val="22"/>
        </w:rPr>
        <w:t>Конференцией Сторон на ее 15-м совещании</w:t>
      </w:r>
      <w:r>
        <w:rPr>
          <w:snapToGrid w:val="0"/>
          <w:kern w:val="22"/>
          <w:szCs w:val="22"/>
        </w:rPr>
        <w:t xml:space="preserve"> следующих вопросов</w:t>
      </w:r>
      <w:r w:rsidRPr="009D1EF5">
        <w:rPr>
          <w:snapToGrid w:val="0"/>
          <w:kern w:val="22"/>
          <w:szCs w:val="22"/>
        </w:rPr>
        <w:t>:</w:t>
      </w:r>
    </w:p>
    <w:p w:rsidR="00EB7408" w:rsidRDefault="00EB7408" w:rsidP="00EB7408">
      <w:pPr>
        <w:pStyle w:val="Paragraphedeliste"/>
        <w:numPr>
          <w:ilvl w:val="0"/>
          <w:numId w:val="39"/>
        </w:numPr>
        <w:suppressLineNumbers/>
        <w:suppressAutoHyphens/>
        <w:kinsoku w:val="0"/>
        <w:overflowPunct w:val="0"/>
        <w:autoSpaceDE w:val="0"/>
        <w:autoSpaceDN w:val="0"/>
        <w:adjustRightInd w:val="0"/>
        <w:snapToGrid w:val="0"/>
        <w:spacing w:before="120" w:after="120"/>
        <w:ind w:left="0" w:firstLine="709"/>
        <w:rPr>
          <w:snapToGrid w:val="0"/>
          <w:spacing w:val="-1"/>
          <w:kern w:val="22"/>
          <w:szCs w:val="22"/>
        </w:rPr>
      </w:pPr>
      <w:r w:rsidRPr="00AD46EC">
        <w:rPr>
          <w:snapToGrid w:val="0"/>
          <w:spacing w:val="-1"/>
          <w:kern w:val="22"/>
          <w:szCs w:val="22"/>
        </w:rPr>
        <w:t>оценки структуры, содержания и эффективности Стратегии мобилизации ресурсов с</w:t>
      </w:r>
      <w:r>
        <w:rPr>
          <w:snapToGrid w:val="0"/>
          <w:spacing w:val="-1"/>
          <w:kern w:val="22"/>
          <w:szCs w:val="22"/>
        </w:rPr>
        <w:t xml:space="preserve"> указанием </w:t>
      </w:r>
      <w:r w:rsidR="00B0514E">
        <w:rPr>
          <w:snapToGrid w:val="0"/>
          <w:spacing w:val="-1"/>
          <w:kern w:val="22"/>
          <w:szCs w:val="22"/>
        </w:rPr>
        <w:t>возможных трудностей</w:t>
      </w:r>
      <w:r w:rsidRPr="00DB41CC">
        <w:rPr>
          <w:snapToGrid w:val="0"/>
          <w:spacing w:val="-1"/>
          <w:kern w:val="22"/>
          <w:szCs w:val="22"/>
        </w:rPr>
        <w:t xml:space="preserve">, мешающих </w:t>
      </w:r>
      <w:r w:rsidR="00B0514E">
        <w:rPr>
          <w:snapToGrid w:val="0"/>
          <w:spacing w:val="-1"/>
          <w:kern w:val="22"/>
          <w:szCs w:val="22"/>
        </w:rPr>
        <w:t>выполнению</w:t>
      </w:r>
      <w:r w:rsidRPr="00DB41CC">
        <w:rPr>
          <w:snapToGrid w:val="0"/>
          <w:spacing w:val="-1"/>
          <w:kern w:val="22"/>
          <w:szCs w:val="22"/>
        </w:rPr>
        <w:t xml:space="preserve"> целевых задач;</w:t>
      </w:r>
    </w:p>
    <w:p w:rsidR="00EB7408" w:rsidRDefault="00EB7408" w:rsidP="00EB7408">
      <w:pPr>
        <w:pStyle w:val="Paragraphedeliste"/>
        <w:numPr>
          <w:ilvl w:val="0"/>
          <w:numId w:val="39"/>
        </w:numPr>
        <w:suppressLineNumbers/>
        <w:suppressAutoHyphens/>
        <w:kinsoku w:val="0"/>
        <w:overflowPunct w:val="0"/>
        <w:autoSpaceDE w:val="0"/>
        <w:autoSpaceDN w:val="0"/>
        <w:adjustRightInd w:val="0"/>
        <w:snapToGrid w:val="0"/>
        <w:spacing w:before="120" w:after="120"/>
        <w:ind w:left="0" w:firstLine="709"/>
        <w:rPr>
          <w:snapToGrid w:val="0"/>
          <w:spacing w:val="-1"/>
          <w:kern w:val="22"/>
          <w:szCs w:val="22"/>
        </w:rPr>
      </w:pPr>
      <w:proofErr w:type="gramStart"/>
      <w:r w:rsidRPr="00AD46EC">
        <w:rPr>
          <w:snapToGrid w:val="0"/>
          <w:spacing w:val="-1"/>
          <w:kern w:val="22"/>
          <w:szCs w:val="22"/>
        </w:rPr>
        <w:t xml:space="preserve">осуществления обзора опыта </w:t>
      </w:r>
      <w:r w:rsidR="001B55F0">
        <w:rPr>
          <w:snapToGrid w:val="0"/>
          <w:spacing w:val="-1"/>
          <w:kern w:val="22"/>
          <w:szCs w:val="22"/>
        </w:rPr>
        <w:t>выполнения целевой задачи 20</w:t>
      </w:r>
      <w:r w:rsidRPr="00AD46EC">
        <w:rPr>
          <w:snapToGrid w:val="0"/>
          <w:spacing w:val="-1"/>
          <w:kern w:val="22"/>
          <w:szCs w:val="22"/>
        </w:rPr>
        <w:t>, принятой в Айти, и осуществления Стратегии мобилизации ресурсов и их соответствия требованиям и исходя из этого опыта, а также опыта работы других соответствующих многосторонних природоохранных соглашений, инициатив государственных и частных субъектов деятельности и инициатив, предпринятых коренными народами и местными общинами, рассмотрение потребности в необходимых действиях на основе информации, представленной Сторонами посредством структуры представления</w:t>
      </w:r>
      <w:proofErr w:type="gramEnd"/>
      <w:r w:rsidRPr="00AD46EC">
        <w:rPr>
          <w:snapToGrid w:val="0"/>
          <w:spacing w:val="-1"/>
          <w:kern w:val="22"/>
          <w:szCs w:val="22"/>
        </w:rPr>
        <w:t xml:space="preserve"> финансовой отчетности, включая их соответствующие выявленные потребности в ресурсах, и других соответствующих источников;</w:t>
      </w:r>
    </w:p>
    <w:p w:rsidR="00EB7408" w:rsidRDefault="00EB7408" w:rsidP="00EB7408">
      <w:pPr>
        <w:pStyle w:val="Paragraphedeliste"/>
        <w:numPr>
          <w:ilvl w:val="0"/>
          <w:numId w:val="39"/>
        </w:numPr>
        <w:suppressLineNumbers/>
        <w:suppressAutoHyphens/>
        <w:kinsoku w:val="0"/>
        <w:overflowPunct w:val="0"/>
        <w:autoSpaceDE w:val="0"/>
        <w:autoSpaceDN w:val="0"/>
        <w:adjustRightInd w:val="0"/>
        <w:snapToGrid w:val="0"/>
        <w:spacing w:before="120" w:after="120"/>
        <w:ind w:left="0" w:firstLine="709"/>
        <w:rPr>
          <w:snapToGrid w:val="0"/>
          <w:spacing w:val="-1"/>
          <w:kern w:val="22"/>
          <w:szCs w:val="22"/>
        </w:rPr>
      </w:pPr>
      <w:r w:rsidRPr="00AD46EC">
        <w:rPr>
          <w:snapToGrid w:val="0"/>
          <w:spacing w:val="-1"/>
          <w:kern w:val="22"/>
          <w:szCs w:val="22"/>
        </w:rPr>
        <w:t>оценки ресурсов из всех источников, необходимых для осуществления различных сценариев</w:t>
      </w:r>
      <w:r w:rsidRPr="007F054D">
        <w:rPr>
          <w:snapToGrid w:val="0"/>
          <w:vertAlign w:val="superscript"/>
        </w:rPr>
        <w:footnoteReference w:id="4"/>
      </w:r>
      <w:r w:rsidRPr="00AD46EC">
        <w:rPr>
          <w:snapToGrid w:val="0"/>
          <w:spacing w:val="-1"/>
          <w:kern w:val="22"/>
          <w:szCs w:val="22"/>
        </w:rPr>
        <w:t xml:space="preserve"> осуществления глобальной рамочной программы на период после 2020 года, учитывая оценку потребностей Г</w:t>
      </w:r>
      <w:r w:rsidR="00200B3E">
        <w:rPr>
          <w:snapToGrid w:val="0"/>
          <w:spacing w:val="-1"/>
          <w:kern w:val="22"/>
          <w:szCs w:val="22"/>
        </w:rPr>
        <w:t>лобального экологического фонда</w:t>
      </w:r>
      <w:r w:rsidRPr="00AD46EC">
        <w:rPr>
          <w:snapToGrid w:val="0"/>
          <w:spacing w:val="-1"/>
          <w:kern w:val="22"/>
          <w:szCs w:val="22"/>
        </w:rPr>
        <w:t>, а также затраты и выгоды</w:t>
      </w:r>
      <w:r w:rsidRPr="007F054D">
        <w:rPr>
          <w:snapToGrid w:val="0"/>
          <w:vertAlign w:val="superscript"/>
        </w:rPr>
        <w:footnoteReference w:id="5"/>
      </w:r>
      <w:r w:rsidRPr="00AD46EC">
        <w:rPr>
          <w:snapToGrid w:val="0"/>
          <w:spacing w:val="-1"/>
          <w:kern w:val="22"/>
          <w:szCs w:val="22"/>
        </w:rPr>
        <w:t xml:space="preserve"> в результате осуществления глобальной рамочной программы на период после 2020 года;</w:t>
      </w:r>
    </w:p>
    <w:p w:rsidR="00EB7408" w:rsidRDefault="00EB7408" w:rsidP="00EB7408">
      <w:pPr>
        <w:pStyle w:val="Paragraphedeliste"/>
        <w:numPr>
          <w:ilvl w:val="0"/>
          <w:numId w:val="39"/>
        </w:numPr>
        <w:suppressLineNumbers/>
        <w:suppressAutoHyphens/>
        <w:kinsoku w:val="0"/>
        <w:overflowPunct w:val="0"/>
        <w:autoSpaceDE w:val="0"/>
        <w:autoSpaceDN w:val="0"/>
        <w:adjustRightInd w:val="0"/>
        <w:snapToGrid w:val="0"/>
        <w:spacing w:before="120" w:after="120"/>
        <w:ind w:left="0" w:firstLine="709"/>
        <w:rPr>
          <w:snapToGrid w:val="0"/>
          <w:spacing w:val="-1"/>
          <w:kern w:val="22"/>
          <w:szCs w:val="22"/>
        </w:rPr>
      </w:pPr>
      <w:r w:rsidRPr="00AD46EC">
        <w:rPr>
          <w:snapToGrid w:val="0"/>
          <w:spacing w:val="-1"/>
          <w:kern w:val="22"/>
          <w:szCs w:val="22"/>
        </w:rPr>
        <w:t xml:space="preserve">внесения вклада в проект мобилизации ресурсов глобальной рамочной программы в области биоразнообразия на период после 2020 года в качестве последующей деятельности по итогам текущей Стратегии мобилизации ресурсов на основе существующей Стратегии и мероприятий, описанных выше, в подпунктах </w:t>
      </w:r>
      <w:proofErr w:type="spellStart"/>
      <w:r w:rsidRPr="00AD46EC">
        <w:rPr>
          <w:snapToGrid w:val="0"/>
          <w:spacing w:val="-1"/>
          <w:kern w:val="22"/>
          <w:szCs w:val="22"/>
        </w:rPr>
        <w:t>a</w:t>
      </w:r>
      <w:proofErr w:type="spellEnd"/>
      <w:r w:rsidRPr="00AD46EC">
        <w:rPr>
          <w:snapToGrid w:val="0"/>
          <w:spacing w:val="-1"/>
          <w:kern w:val="22"/>
          <w:szCs w:val="22"/>
        </w:rPr>
        <w:t xml:space="preserve">) - </w:t>
      </w:r>
      <w:proofErr w:type="spellStart"/>
      <w:r w:rsidRPr="00AD46EC">
        <w:rPr>
          <w:snapToGrid w:val="0"/>
          <w:spacing w:val="-1"/>
          <w:kern w:val="22"/>
          <w:szCs w:val="22"/>
        </w:rPr>
        <w:t>c</w:t>
      </w:r>
      <w:proofErr w:type="spellEnd"/>
      <w:r w:rsidRPr="00AD46EC">
        <w:rPr>
          <w:snapToGrid w:val="0"/>
          <w:spacing w:val="-1"/>
          <w:kern w:val="22"/>
          <w:szCs w:val="22"/>
        </w:rPr>
        <w:t xml:space="preserve">); </w:t>
      </w:r>
    </w:p>
    <w:p w:rsidR="00EB7408" w:rsidRDefault="00EB7408" w:rsidP="00EB7408">
      <w:pPr>
        <w:pStyle w:val="Paragraphedeliste"/>
        <w:numPr>
          <w:ilvl w:val="0"/>
          <w:numId w:val="39"/>
        </w:numPr>
        <w:suppressLineNumbers/>
        <w:suppressAutoHyphens/>
        <w:kinsoku w:val="0"/>
        <w:overflowPunct w:val="0"/>
        <w:autoSpaceDE w:val="0"/>
        <w:autoSpaceDN w:val="0"/>
        <w:adjustRightInd w:val="0"/>
        <w:snapToGrid w:val="0"/>
        <w:spacing w:before="120" w:after="120"/>
        <w:ind w:left="0" w:firstLine="709"/>
        <w:rPr>
          <w:snapToGrid w:val="0"/>
          <w:spacing w:val="-1"/>
          <w:kern w:val="22"/>
          <w:szCs w:val="22"/>
        </w:rPr>
      </w:pPr>
      <w:r w:rsidRPr="00AD46EC">
        <w:rPr>
          <w:snapToGrid w:val="0"/>
          <w:spacing w:val="-1"/>
          <w:kern w:val="22"/>
          <w:szCs w:val="22"/>
        </w:rPr>
        <w:t>изучения вариантов и подходов к мобилизации и обеспечению дополнительных ресурсов из всех источников;</w:t>
      </w:r>
    </w:p>
    <w:p w:rsidR="00EB7408" w:rsidRDefault="00EB7408" w:rsidP="00EB7408">
      <w:pPr>
        <w:pStyle w:val="Paragraphedeliste"/>
        <w:numPr>
          <w:ilvl w:val="0"/>
          <w:numId w:val="39"/>
        </w:numPr>
        <w:suppressLineNumbers/>
        <w:suppressAutoHyphens/>
        <w:kinsoku w:val="0"/>
        <w:overflowPunct w:val="0"/>
        <w:autoSpaceDE w:val="0"/>
        <w:autoSpaceDN w:val="0"/>
        <w:adjustRightInd w:val="0"/>
        <w:snapToGrid w:val="0"/>
        <w:spacing w:before="120" w:after="120"/>
        <w:ind w:left="0" w:firstLine="709"/>
        <w:rPr>
          <w:snapToGrid w:val="0"/>
          <w:spacing w:val="-1"/>
          <w:kern w:val="22"/>
          <w:szCs w:val="22"/>
        </w:rPr>
      </w:pPr>
      <w:r w:rsidRPr="00AD46EC">
        <w:rPr>
          <w:snapToGrid w:val="0"/>
          <w:spacing w:val="-1"/>
          <w:kern w:val="22"/>
          <w:szCs w:val="22"/>
        </w:rPr>
        <w:lastRenderedPageBreak/>
        <w:t>рассмотрения способов привлечения более широкого круга финансовых и частных учреждений на всех уровнях и всех источников в поддержку осуществления глобальной рамочной программы на период после 2020 года;</w:t>
      </w:r>
    </w:p>
    <w:p w:rsidR="00EB7408" w:rsidRDefault="00EB7408" w:rsidP="00EB7408">
      <w:pPr>
        <w:pStyle w:val="Paragraphedeliste"/>
        <w:numPr>
          <w:ilvl w:val="0"/>
          <w:numId w:val="39"/>
        </w:numPr>
        <w:suppressLineNumbers/>
        <w:suppressAutoHyphens/>
        <w:kinsoku w:val="0"/>
        <w:overflowPunct w:val="0"/>
        <w:autoSpaceDE w:val="0"/>
        <w:autoSpaceDN w:val="0"/>
        <w:adjustRightInd w:val="0"/>
        <w:snapToGrid w:val="0"/>
        <w:spacing w:before="120" w:after="120"/>
        <w:ind w:left="0" w:firstLine="709"/>
        <w:rPr>
          <w:snapToGrid w:val="0"/>
          <w:spacing w:val="-1"/>
          <w:kern w:val="22"/>
          <w:szCs w:val="22"/>
        </w:rPr>
      </w:pPr>
      <w:r w:rsidRPr="00AD46EC">
        <w:rPr>
          <w:snapToGrid w:val="0"/>
          <w:spacing w:val="-1"/>
          <w:kern w:val="22"/>
          <w:szCs w:val="22"/>
        </w:rPr>
        <w:t>изучения способов расширения внедрения аспектов биоразнообразия в национальные экономические бюджеты и планы развития, включая основные производственные секторы;</w:t>
      </w:r>
    </w:p>
    <w:p w:rsidR="00EB7408" w:rsidRPr="00AD46EC" w:rsidRDefault="00EB7408" w:rsidP="00EB7408">
      <w:pPr>
        <w:pStyle w:val="Paragraphedeliste"/>
        <w:numPr>
          <w:ilvl w:val="0"/>
          <w:numId w:val="39"/>
        </w:numPr>
        <w:suppressLineNumbers/>
        <w:suppressAutoHyphens/>
        <w:kinsoku w:val="0"/>
        <w:overflowPunct w:val="0"/>
        <w:autoSpaceDE w:val="0"/>
        <w:autoSpaceDN w:val="0"/>
        <w:adjustRightInd w:val="0"/>
        <w:snapToGrid w:val="0"/>
        <w:spacing w:before="120" w:after="120"/>
        <w:ind w:left="0" w:firstLine="709"/>
        <w:rPr>
          <w:snapToGrid w:val="0"/>
          <w:spacing w:val="-1"/>
          <w:kern w:val="22"/>
          <w:szCs w:val="22"/>
        </w:rPr>
      </w:pPr>
      <w:r w:rsidRPr="00AD46EC">
        <w:rPr>
          <w:snapToGrid w:val="0"/>
          <w:spacing w:val="-1"/>
          <w:kern w:val="22"/>
          <w:szCs w:val="22"/>
        </w:rPr>
        <w:t>рассмотрения способов повышения готовности и возможностей Сторон для получения доступа к финансовым ресурсам и их использованию в поддержку осуществления глобальной рамочной программы на период после 2020 года.</w:t>
      </w:r>
    </w:p>
    <w:p w:rsidR="009F5421" w:rsidRPr="009E74CD" w:rsidRDefault="009F5421" w:rsidP="00BA6194">
      <w:pPr>
        <w:pStyle w:val="Corpsdetexte"/>
        <w:suppressLineNumbers/>
        <w:suppressAutoHyphens/>
        <w:ind w:left="851" w:firstLine="0"/>
        <w:rPr>
          <w:kern w:val="22"/>
          <w:szCs w:val="22"/>
        </w:rPr>
      </w:pPr>
    </w:p>
    <w:bookmarkEnd w:id="2"/>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567" w:rsidRDefault="003F5567" w:rsidP="00CF1848">
      <w:r>
        <w:separator/>
      </w:r>
    </w:p>
  </w:endnote>
  <w:endnote w:type="continuationSeparator" w:id="0">
    <w:p w:rsidR="003F5567" w:rsidRDefault="003F5567" w:rsidP="00CF1848">
      <w:r>
        <w:continuationSeparator/>
      </w:r>
    </w:p>
  </w:endnote>
  <w:endnote w:type="continuationNotice" w:id="1">
    <w:p w:rsidR="003F5567" w:rsidRDefault="003F556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567" w:rsidRDefault="003F5567" w:rsidP="00CF1848">
      <w:r>
        <w:separator/>
      </w:r>
    </w:p>
  </w:footnote>
  <w:footnote w:type="continuationSeparator" w:id="0">
    <w:p w:rsidR="003F5567" w:rsidRDefault="003F5567" w:rsidP="00CF1848">
      <w:r>
        <w:continuationSeparator/>
      </w:r>
    </w:p>
  </w:footnote>
  <w:footnote w:type="continuationNotice" w:id="1">
    <w:p w:rsidR="003F5567" w:rsidRDefault="003F5567"/>
  </w:footnote>
  <w:footnote w:id="2">
    <w:p w:rsidR="00EB7408" w:rsidRPr="00906999" w:rsidRDefault="00EB7408" w:rsidP="00EB7408">
      <w:pPr>
        <w:pStyle w:val="Notedebasdepage"/>
        <w:ind w:firstLine="0"/>
      </w:pPr>
      <w:r w:rsidRPr="00C35F39">
        <w:rPr>
          <w:rStyle w:val="Appelnotedebasdep"/>
          <w:rFonts w:eastAsiaTheme="majorEastAsia"/>
          <w:szCs w:val="18"/>
        </w:rPr>
        <w:footnoteRef/>
      </w:r>
      <w:r w:rsidRPr="00194FA5">
        <w:rPr>
          <w:szCs w:val="18"/>
        </w:rPr>
        <w:t xml:space="preserve"> </w:t>
      </w:r>
      <w:hyperlink r:id="rId1" w:history="1">
        <w:r w:rsidRPr="00751CF9">
          <w:rPr>
            <w:rStyle w:val="Lienhypertexte"/>
            <w:color w:val="auto"/>
            <w:u w:val="none"/>
          </w:rPr>
          <w:t>CBD/</w:t>
        </w:r>
        <w:r w:rsidRPr="00751CF9">
          <w:rPr>
            <w:rStyle w:val="Lienhypertexte"/>
            <w:color w:val="auto"/>
            <w:u w:val="none"/>
            <w:lang w:val="fr-CA"/>
          </w:rPr>
          <w:t>COP</w:t>
        </w:r>
        <w:r w:rsidRPr="00751CF9">
          <w:rPr>
            <w:rStyle w:val="Lienhypertexte"/>
            <w:color w:val="auto"/>
            <w:u w:val="none"/>
          </w:rPr>
          <w:t>/</w:t>
        </w:r>
        <w:r w:rsidRPr="00751CF9">
          <w:rPr>
            <w:rStyle w:val="Lienhypertexte"/>
            <w:color w:val="auto"/>
            <w:u w:val="none"/>
            <w:lang w:val="en-US"/>
          </w:rPr>
          <w:t>14</w:t>
        </w:r>
        <w:r w:rsidRPr="00751CF9">
          <w:rPr>
            <w:rStyle w:val="Lienhypertexte"/>
            <w:color w:val="auto"/>
            <w:u w:val="none"/>
          </w:rPr>
          <w:t>/</w:t>
        </w:r>
        <w:r w:rsidRPr="00751CF9">
          <w:rPr>
            <w:rStyle w:val="Lienhypertexte"/>
            <w:color w:val="auto"/>
            <w:u w:val="none"/>
            <w:lang w:val="en-US"/>
          </w:rPr>
          <w:t>6</w:t>
        </w:r>
        <w:r w:rsidRPr="00751CF9">
          <w:rPr>
            <w:rStyle w:val="Lienhypertexte"/>
            <w:snapToGrid w:val="0"/>
            <w:color w:val="auto"/>
            <w:kern w:val="22"/>
            <w:szCs w:val="22"/>
            <w:u w:val="none"/>
          </w:rPr>
          <w:t>.</w:t>
        </w:r>
      </w:hyperlink>
    </w:p>
  </w:footnote>
  <w:footnote w:id="3">
    <w:p w:rsidR="00EB7408" w:rsidRPr="009B3207" w:rsidRDefault="00EB7408" w:rsidP="00EB7408">
      <w:pPr>
        <w:pStyle w:val="Notedebasdepage"/>
        <w:ind w:firstLine="0"/>
      </w:pPr>
      <w:r>
        <w:rPr>
          <w:rStyle w:val="Appelnotedebasdep"/>
          <w:rFonts w:eastAsiaTheme="majorEastAsia"/>
        </w:rPr>
        <w:footnoteRef/>
      </w:r>
      <w:r w:rsidRPr="009B3207">
        <w:t xml:space="preserve"> Решение </w:t>
      </w:r>
      <w:hyperlink r:id="rId2" w:history="1">
        <w:r w:rsidRPr="00F03367">
          <w:rPr>
            <w:rStyle w:val="Lienhypertexte"/>
            <w:lang w:val="fr-FR"/>
          </w:rPr>
          <w:t>XII</w:t>
        </w:r>
        <w:r w:rsidRPr="009B3207">
          <w:rPr>
            <w:rStyle w:val="Lienhypertexte"/>
          </w:rPr>
          <w:t>/3</w:t>
        </w:r>
      </w:hyperlink>
      <w:r w:rsidRPr="009B3207">
        <w:t>.</w:t>
      </w:r>
    </w:p>
  </w:footnote>
  <w:footnote w:id="4">
    <w:p w:rsidR="00EB7408" w:rsidRPr="00732097" w:rsidRDefault="00EB7408" w:rsidP="00EB7408">
      <w:pPr>
        <w:pStyle w:val="Notedebasdepage"/>
        <w:suppressLineNumbers/>
        <w:suppressAutoHyphens/>
        <w:ind w:firstLine="0"/>
        <w:jc w:val="left"/>
        <w:rPr>
          <w:kern w:val="18"/>
          <w:szCs w:val="18"/>
          <w:lang w:val="fr-FR"/>
        </w:rPr>
      </w:pPr>
      <w:r w:rsidRPr="00934553">
        <w:rPr>
          <w:rStyle w:val="Appelnotedebasdep"/>
          <w:kern w:val="18"/>
          <w:szCs w:val="18"/>
        </w:rPr>
        <w:footnoteRef/>
      </w:r>
      <w:r w:rsidRPr="007F054D">
        <w:rPr>
          <w:kern w:val="18"/>
          <w:szCs w:val="18"/>
        </w:rPr>
        <w:t xml:space="preserve"> </w:t>
      </w:r>
      <w:r>
        <w:rPr>
          <w:kern w:val="18"/>
          <w:szCs w:val="18"/>
        </w:rPr>
        <w:t>См</w:t>
      </w:r>
      <w:r w:rsidRPr="007F054D">
        <w:rPr>
          <w:kern w:val="18"/>
          <w:szCs w:val="18"/>
        </w:rPr>
        <w:t xml:space="preserve">. </w:t>
      </w:r>
      <w:r w:rsidR="00D529F0">
        <w:rPr>
          <w:kern w:val="18"/>
          <w:szCs w:val="18"/>
        </w:rPr>
        <w:t>р</w:t>
      </w:r>
      <w:r>
        <w:rPr>
          <w:kern w:val="18"/>
          <w:szCs w:val="18"/>
        </w:rPr>
        <w:t>ешение</w:t>
      </w:r>
      <w:r w:rsidRPr="007F054D">
        <w:rPr>
          <w:kern w:val="18"/>
          <w:szCs w:val="18"/>
        </w:rPr>
        <w:t xml:space="preserve"> </w:t>
      </w:r>
      <w:r w:rsidR="00732097">
        <w:rPr>
          <w:kern w:val="18"/>
          <w:szCs w:val="18"/>
          <w:lang w:val="fr-FR"/>
        </w:rPr>
        <w:t>14</w:t>
      </w:r>
      <w:r w:rsidRPr="007F054D">
        <w:rPr>
          <w:kern w:val="18"/>
          <w:szCs w:val="18"/>
        </w:rPr>
        <w:t>/</w:t>
      </w:r>
      <w:r w:rsidR="00732097">
        <w:rPr>
          <w:kern w:val="18"/>
          <w:szCs w:val="18"/>
          <w:lang w:val="fr-FR"/>
        </w:rPr>
        <w:t>2</w:t>
      </w:r>
      <w:r w:rsidRPr="007F054D">
        <w:rPr>
          <w:kern w:val="18"/>
          <w:szCs w:val="18"/>
        </w:rPr>
        <w:t xml:space="preserve"> </w:t>
      </w:r>
      <w:r>
        <w:rPr>
          <w:kern w:val="18"/>
          <w:szCs w:val="18"/>
        </w:rPr>
        <w:t>о</w:t>
      </w:r>
      <w:r w:rsidRPr="007F054D">
        <w:rPr>
          <w:kern w:val="18"/>
          <w:szCs w:val="18"/>
        </w:rPr>
        <w:t xml:space="preserve"> </w:t>
      </w:r>
      <w:r>
        <w:rPr>
          <w:kern w:val="18"/>
          <w:szCs w:val="18"/>
        </w:rPr>
        <w:t>сценариях</w:t>
      </w:r>
      <w:r w:rsidRPr="007F054D">
        <w:rPr>
          <w:kern w:val="18"/>
          <w:szCs w:val="18"/>
        </w:rPr>
        <w:t xml:space="preserve"> </w:t>
      </w:r>
      <w:r>
        <w:rPr>
          <w:kern w:val="18"/>
          <w:szCs w:val="18"/>
        </w:rPr>
        <w:t>Концепции</w:t>
      </w:r>
      <w:r w:rsidR="001B55F0">
        <w:rPr>
          <w:kern w:val="18"/>
          <w:szCs w:val="18"/>
        </w:rPr>
        <w:t xml:space="preserve"> </w:t>
      </w:r>
      <w:r>
        <w:rPr>
          <w:kern w:val="18"/>
          <w:szCs w:val="18"/>
        </w:rPr>
        <w:t>в</w:t>
      </w:r>
      <w:r w:rsidRPr="007F054D">
        <w:rPr>
          <w:kern w:val="18"/>
          <w:szCs w:val="18"/>
        </w:rPr>
        <w:t xml:space="preserve"> </w:t>
      </w:r>
      <w:r>
        <w:rPr>
          <w:kern w:val="18"/>
          <w:szCs w:val="18"/>
        </w:rPr>
        <w:t>области биоразнообразия</w:t>
      </w:r>
      <w:r w:rsidR="001B55F0">
        <w:rPr>
          <w:kern w:val="18"/>
          <w:szCs w:val="18"/>
        </w:rPr>
        <w:t xml:space="preserve"> на период до</w:t>
      </w:r>
      <w:r w:rsidR="001B55F0" w:rsidRPr="001B55F0">
        <w:rPr>
          <w:kern w:val="18"/>
          <w:szCs w:val="18"/>
        </w:rPr>
        <w:t xml:space="preserve"> 2050 года</w:t>
      </w:r>
      <w:r>
        <w:rPr>
          <w:kern w:val="18"/>
          <w:szCs w:val="18"/>
        </w:rPr>
        <w:t xml:space="preserve">, пункт </w:t>
      </w:r>
      <w:r w:rsidRPr="007F054D">
        <w:rPr>
          <w:kern w:val="18"/>
          <w:szCs w:val="18"/>
        </w:rPr>
        <w:t>2</w:t>
      </w:r>
      <w:r>
        <w:rPr>
          <w:kern w:val="18"/>
          <w:szCs w:val="18"/>
        </w:rPr>
        <w:t xml:space="preserve"> </w:t>
      </w:r>
      <w:proofErr w:type="spellStart"/>
      <w:r w:rsidRPr="00934553">
        <w:rPr>
          <w:kern w:val="18"/>
          <w:szCs w:val="18"/>
        </w:rPr>
        <w:t>f</w:t>
      </w:r>
      <w:proofErr w:type="spellEnd"/>
      <w:r w:rsidR="00732097">
        <w:rPr>
          <w:kern w:val="18"/>
          <w:szCs w:val="18"/>
        </w:rPr>
        <w:t>)</w:t>
      </w:r>
      <w:r w:rsidR="00732097">
        <w:rPr>
          <w:kern w:val="18"/>
          <w:szCs w:val="18"/>
          <w:lang w:val="fr-FR"/>
        </w:rPr>
        <w:t>.</w:t>
      </w:r>
    </w:p>
  </w:footnote>
  <w:footnote w:id="5">
    <w:p w:rsidR="00EB7408" w:rsidRPr="00256250" w:rsidRDefault="00EB7408" w:rsidP="00EB7408">
      <w:pPr>
        <w:pStyle w:val="Notedebasdepage"/>
        <w:suppressLineNumbers/>
        <w:suppressAutoHyphens/>
        <w:ind w:firstLine="0"/>
        <w:jc w:val="left"/>
        <w:rPr>
          <w:kern w:val="18"/>
          <w:szCs w:val="18"/>
        </w:rPr>
      </w:pPr>
      <w:r w:rsidRPr="00934553">
        <w:rPr>
          <w:rStyle w:val="Appelnotedebasdep"/>
          <w:kern w:val="18"/>
          <w:szCs w:val="18"/>
        </w:rPr>
        <w:footnoteRef/>
      </w:r>
      <w:r w:rsidRPr="007F054D">
        <w:rPr>
          <w:kern w:val="18"/>
          <w:szCs w:val="18"/>
        </w:rPr>
        <w:t xml:space="preserve"> </w:t>
      </w:r>
      <w:r>
        <w:rPr>
          <w:kern w:val="18"/>
          <w:szCs w:val="18"/>
        </w:rPr>
        <w:t>См</w:t>
      </w:r>
      <w:r w:rsidRPr="007F054D">
        <w:rPr>
          <w:kern w:val="18"/>
          <w:szCs w:val="18"/>
        </w:rPr>
        <w:t xml:space="preserve">. </w:t>
      </w:r>
      <w:r w:rsidR="00D529F0">
        <w:rPr>
          <w:kern w:val="18"/>
          <w:szCs w:val="18"/>
        </w:rPr>
        <w:t>в</w:t>
      </w:r>
      <w:r>
        <w:rPr>
          <w:kern w:val="18"/>
          <w:szCs w:val="18"/>
        </w:rPr>
        <w:t>торой доклад Группы высокого уровня по глобальной оценке ресурсов</w:t>
      </w:r>
      <w:r w:rsidR="001B55F0">
        <w:rPr>
          <w:kern w:val="18"/>
          <w:szCs w:val="18"/>
        </w:rPr>
        <w:t xml:space="preserve"> </w:t>
      </w:r>
      <w:r>
        <w:rPr>
          <w:kern w:val="18"/>
          <w:szCs w:val="18"/>
        </w:rPr>
        <w:t xml:space="preserve">для осуществления Стратегического плана в области биоразнообразия на </w:t>
      </w:r>
      <w:r w:rsidRPr="007F054D">
        <w:rPr>
          <w:kern w:val="18"/>
          <w:szCs w:val="18"/>
        </w:rPr>
        <w:t>2011-2020</w:t>
      </w:r>
      <w:r>
        <w:rPr>
          <w:kern w:val="18"/>
          <w:szCs w:val="18"/>
        </w:rPr>
        <w:t xml:space="preserve"> гг.</w:t>
      </w:r>
      <w:r w:rsidRPr="007F054D">
        <w:rPr>
          <w:kern w:val="18"/>
          <w:szCs w:val="18"/>
        </w:rPr>
        <w:t xml:space="preserve"> </w:t>
      </w:r>
      <w:r w:rsidRPr="00751CF9">
        <w:rPr>
          <w:kern w:val="18"/>
          <w:szCs w:val="18"/>
        </w:rPr>
        <w:t>(Поиск ресурсов для целевых задач, принятых в Айти; Оценка выгод, инвестиций и ресурсов, необходимых для осуществления Стратегического плана в области биоразнообразия на 2011-2020</w:t>
      </w:r>
      <w:r w:rsidR="00200B3E">
        <w:rPr>
          <w:kern w:val="18"/>
          <w:szCs w:val="18"/>
          <w:lang w:val="fr-FR"/>
        </w:rPr>
        <w:t> </w:t>
      </w:r>
      <w:r w:rsidRPr="00751CF9">
        <w:rPr>
          <w:kern w:val="18"/>
          <w:szCs w:val="18"/>
        </w:rPr>
        <w:t xml:space="preserve">гг.); </w:t>
      </w:r>
      <w:r>
        <w:rPr>
          <w:kern w:val="18"/>
          <w:szCs w:val="18"/>
        </w:rPr>
        <w:t>доклады</w:t>
      </w:r>
      <w:r w:rsidRPr="00256250">
        <w:rPr>
          <w:kern w:val="18"/>
          <w:szCs w:val="18"/>
        </w:rPr>
        <w:t xml:space="preserve"> </w:t>
      </w:r>
      <w:r>
        <w:rPr>
          <w:kern w:val="18"/>
          <w:szCs w:val="18"/>
        </w:rPr>
        <w:t>глобальной</w:t>
      </w:r>
      <w:r w:rsidRPr="00256250">
        <w:rPr>
          <w:kern w:val="18"/>
          <w:szCs w:val="18"/>
        </w:rPr>
        <w:t xml:space="preserve"> </w:t>
      </w:r>
      <w:r>
        <w:rPr>
          <w:kern w:val="18"/>
          <w:szCs w:val="18"/>
        </w:rPr>
        <w:t>инициативы</w:t>
      </w:r>
      <w:r w:rsidRPr="00256250">
        <w:rPr>
          <w:kern w:val="18"/>
          <w:szCs w:val="18"/>
        </w:rPr>
        <w:t xml:space="preserve"> </w:t>
      </w:r>
      <w:r>
        <w:rPr>
          <w:kern w:val="18"/>
          <w:szCs w:val="18"/>
        </w:rPr>
        <w:t>Экономика</w:t>
      </w:r>
      <w:r w:rsidRPr="00256250">
        <w:rPr>
          <w:kern w:val="18"/>
          <w:szCs w:val="18"/>
        </w:rPr>
        <w:t xml:space="preserve"> </w:t>
      </w:r>
      <w:r>
        <w:rPr>
          <w:kern w:val="18"/>
          <w:szCs w:val="18"/>
        </w:rPr>
        <w:t>экосистем</w:t>
      </w:r>
      <w:r w:rsidRPr="00256250">
        <w:rPr>
          <w:kern w:val="18"/>
          <w:szCs w:val="18"/>
        </w:rPr>
        <w:t xml:space="preserve"> </w:t>
      </w:r>
      <w:r>
        <w:rPr>
          <w:kern w:val="18"/>
          <w:szCs w:val="18"/>
        </w:rPr>
        <w:t>и</w:t>
      </w:r>
      <w:r w:rsidRPr="00256250">
        <w:rPr>
          <w:kern w:val="18"/>
          <w:szCs w:val="18"/>
        </w:rPr>
        <w:t xml:space="preserve"> </w:t>
      </w:r>
      <w:r>
        <w:rPr>
          <w:kern w:val="18"/>
          <w:szCs w:val="18"/>
        </w:rPr>
        <w:t>биоразнообразия</w:t>
      </w:r>
      <w:r w:rsidRPr="00256250">
        <w:rPr>
          <w:kern w:val="18"/>
          <w:szCs w:val="18"/>
        </w:rPr>
        <w:t xml:space="preserve"> </w:t>
      </w:r>
      <w:r>
        <w:rPr>
          <w:kern w:val="18"/>
          <w:szCs w:val="18"/>
        </w:rPr>
        <w:t>и</w:t>
      </w:r>
      <w:r w:rsidRPr="00256250">
        <w:rPr>
          <w:kern w:val="18"/>
          <w:szCs w:val="18"/>
        </w:rPr>
        <w:t xml:space="preserve"> </w:t>
      </w:r>
      <w:r>
        <w:rPr>
          <w:kern w:val="18"/>
          <w:szCs w:val="18"/>
        </w:rPr>
        <w:t xml:space="preserve">соответствующие оценки Межправительственной научно-политической платформы по биоразнообразию и экосистемным услугам.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200B3E" w:rsidP="00C32100">
        <w:pPr>
          <w:pStyle w:val="En-tte"/>
          <w:jc w:val="left"/>
          <w:rPr>
            <w:noProof/>
            <w:kern w:val="22"/>
          </w:rPr>
        </w:pPr>
        <w:r>
          <w:rPr>
            <w:noProof/>
            <w:kern w:val="22"/>
            <w:lang w:val="fr-FR"/>
          </w:rPr>
          <w:t>CBD/COP/DEC/14/22</w:t>
        </w:r>
      </w:p>
    </w:sdtContent>
  </w:sdt>
  <w:p w:rsidR="006B12C7" w:rsidRDefault="006B12C7" w:rsidP="00534681">
    <w:pPr>
      <w:pStyle w:val="En-tte"/>
      <w:rPr>
        <w:noProof/>
      </w:rPr>
    </w:pPr>
    <w:r>
      <w:rPr>
        <w:noProof/>
      </w:rPr>
      <w:t xml:space="preserve">Страница </w:t>
    </w:r>
    <w:r w:rsidR="0073634F">
      <w:rPr>
        <w:noProof/>
      </w:rPr>
      <w:fldChar w:fldCharType="begin"/>
    </w:r>
    <w:r>
      <w:rPr>
        <w:noProof/>
      </w:rPr>
      <w:instrText xml:space="preserve"> PAGE   \* MERGEFORMAT </w:instrText>
    </w:r>
    <w:r w:rsidR="0073634F">
      <w:rPr>
        <w:noProof/>
      </w:rPr>
      <w:fldChar w:fldCharType="separate"/>
    </w:r>
    <w:r w:rsidR="004929FF">
      <w:rPr>
        <w:noProof/>
      </w:rPr>
      <w:t>2</w:t>
    </w:r>
    <w:r w:rsidR="0073634F">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200B3E" w:rsidP="00451FAC">
        <w:pPr>
          <w:pStyle w:val="En-tte"/>
          <w:jc w:val="right"/>
          <w:rPr>
            <w:noProof/>
            <w:kern w:val="22"/>
          </w:rPr>
        </w:pPr>
        <w:r>
          <w:rPr>
            <w:noProof/>
            <w:kern w:val="22"/>
            <w:lang w:val="fr-FR"/>
          </w:rPr>
          <w:t>CBD/COP/DEC/14/22</w:t>
        </w:r>
      </w:p>
    </w:sdtContent>
  </w:sdt>
  <w:p w:rsidR="006B12C7" w:rsidRDefault="006B12C7" w:rsidP="009505C9">
    <w:pPr>
      <w:pStyle w:val="En-tte"/>
      <w:jc w:val="right"/>
    </w:pPr>
    <w:r>
      <w:t xml:space="preserve">Страница </w:t>
    </w:r>
    <w:r w:rsidR="0073634F">
      <w:fldChar w:fldCharType="begin"/>
    </w:r>
    <w:r>
      <w:instrText xml:space="preserve"> PAGE   \* MERGEFORMAT </w:instrText>
    </w:r>
    <w:r w:rsidR="0073634F">
      <w:fldChar w:fldCharType="separate"/>
    </w:r>
    <w:r w:rsidR="004929FF">
      <w:rPr>
        <w:noProof/>
      </w:rPr>
      <w:t>3</w:t>
    </w:r>
    <w:r w:rsidR="0073634F">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C2321"/>
    <w:multiLevelType w:val="hybridMultilevel"/>
    <w:tmpl w:val="DEB2D25C"/>
    <w:lvl w:ilvl="0" w:tplc="04190017">
      <w:start w:val="1"/>
      <w:numFmt w:val="lowerLetter"/>
      <w:lvlText w:val="%1)"/>
      <w:lvlJc w:val="left"/>
      <w:pPr>
        <w:ind w:left="1710" w:hanging="360"/>
      </w:p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7">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5">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3">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9E25416"/>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34"/>
  </w:num>
  <w:num w:numId="4">
    <w:abstractNumId w:val="36"/>
  </w:num>
  <w:num w:numId="5">
    <w:abstractNumId w:val="7"/>
  </w:num>
  <w:num w:numId="6">
    <w:abstractNumId w:val="28"/>
  </w:num>
  <w:num w:numId="7">
    <w:abstractNumId w:val="32"/>
  </w:num>
  <w:num w:numId="8">
    <w:abstractNumId w:val="0"/>
  </w:num>
  <w:num w:numId="9">
    <w:abstractNumId w:val="31"/>
  </w:num>
  <w:num w:numId="10">
    <w:abstractNumId w:val="19"/>
  </w:num>
  <w:num w:numId="11">
    <w:abstractNumId w:val="33"/>
  </w:num>
  <w:num w:numId="12">
    <w:abstractNumId w:val="3"/>
  </w:num>
  <w:num w:numId="13">
    <w:abstractNumId w:val="9"/>
  </w:num>
  <w:num w:numId="14">
    <w:abstractNumId w:val="13"/>
  </w:num>
  <w:num w:numId="15">
    <w:abstractNumId w:val="1"/>
  </w:num>
  <w:num w:numId="16">
    <w:abstractNumId w:val="29"/>
  </w:num>
  <w:num w:numId="17">
    <w:abstractNumId w:val="15"/>
  </w:num>
  <w:num w:numId="18">
    <w:abstractNumId w:val="14"/>
  </w:num>
  <w:num w:numId="19">
    <w:abstractNumId w:val="8"/>
  </w:num>
  <w:num w:numId="20">
    <w:abstractNumId w:val="16"/>
  </w:num>
  <w:num w:numId="21">
    <w:abstractNumId w:val="21"/>
  </w:num>
  <w:num w:numId="22">
    <w:abstractNumId w:val="12"/>
  </w:num>
  <w:num w:numId="23">
    <w:abstractNumId w:val="38"/>
  </w:num>
  <w:num w:numId="24">
    <w:abstractNumId w:val="20"/>
  </w:num>
  <w:num w:numId="25">
    <w:abstractNumId w:val="35"/>
  </w:num>
  <w:num w:numId="26">
    <w:abstractNumId w:val="5"/>
  </w:num>
  <w:num w:numId="27">
    <w:abstractNumId w:val="30"/>
  </w:num>
  <w:num w:numId="28">
    <w:abstractNumId w:val="4"/>
  </w:num>
  <w:num w:numId="29">
    <w:abstractNumId w:val="24"/>
  </w:num>
  <w:num w:numId="30">
    <w:abstractNumId w:val="10"/>
  </w:num>
  <w:num w:numId="31">
    <w:abstractNumId w:val="2"/>
  </w:num>
  <w:num w:numId="32">
    <w:abstractNumId w:val="17"/>
  </w:num>
  <w:num w:numId="33">
    <w:abstractNumId w:val="11"/>
  </w:num>
  <w:num w:numId="34">
    <w:abstractNumId w:val="26"/>
  </w:num>
  <w:num w:numId="35">
    <w:abstractNumId w:val="23"/>
  </w:num>
  <w:num w:numId="36">
    <w:abstractNumId w:val="27"/>
  </w:num>
  <w:num w:numId="37">
    <w:abstractNumId w:val="22"/>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7"/>
  </w:num>
  <w:num w:numId="39">
    <w:abstractNumId w:val="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39938"/>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7FF2"/>
    <w:rsid w:val="00020D29"/>
    <w:rsid w:val="000237BD"/>
    <w:rsid w:val="00024146"/>
    <w:rsid w:val="000260FA"/>
    <w:rsid w:val="00032EFE"/>
    <w:rsid w:val="00037732"/>
    <w:rsid w:val="00041C0F"/>
    <w:rsid w:val="00052963"/>
    <w:rsid w:val="00063D6C"/>
    <w:rsid w:val="00065EDE"/>
    <w:rsid w:val="00067029"/>
    <w:rsid w:val="000737B2"/>
    <w:rsid w:val="00076B3A"/>
    <w:rsid w:val="00080DC1"/>
    <w:rsid w:val="00093579"/>
    <w:rsid w:val="00093B05"/>
    <w:rsid w:val="00094C1B"/>
    <w:rsid w:val="000A0258"/>
    <w:rsid w:val="000A0AC1"/>
    <w:rsid w:val="000A1DA9"/>
    <w:rsid w:val="000A49DC"/>
    <w:rsid w:val="000B7B33"/>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4838"/>
    <w:rsid w:val="00156A79"/>
    <w:rsid w:val="00157F02"/>
    <w:rsid w:val="00170FF2"/>
    <w:rsid w:val="0017289A"/>
    <w:rsid w:val="00172AF6"/>
    <w:rsid w:val="00172E45"/>
    <w:rsid w:val="00176CEE"/>
    <w:rsid w:val="00177CF9"/>
    <w:rsid w:val="0018407B"/>
    <w:rsid w:val="00185888"/>
    <w:rsid w:val="00185CDB"/>
    <w:rsid w:val="00186693"/>
    <w:rsid w:val="00187EDB"/>
    <w:rsid w:val="00195A55"/>
    <w:rsid w:val="00195F8D"/>
    <w:rsid w:val="001961B9"/>
    <w:rsid w:val="001A4E5E"/>
    <w:rsid w:val="001B207E"/>
    <w:rsid w:val="001B55F0"/>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200B3E"/>
    <w:rsid w:val="0020750D"/>
    <w:rsid w:val="00211B51"/>
    <w:rsid w:val="00215D44"/>
    <w:rsid w:val="00231C2B"/>
    <w:rsid w:val="00235C87"/>
    <w:rsid w:val="00237F7E"/>
    <w:rsid w:val="00241B15"/>
    <w:rsid w:val="00242869"/>
    <w:rsid w:val="00252C0F"/>
    <w:rsid w:val="00266295"/>
    <w:rsid w:val="002716DB"/>
    <w:rsid w:val="002773EA"/>
    <w:rsid w:val="00282115"/>
    <w:rsid w:val="00282650"/>
    <w:rsid w:val="0028630A"/>
    <w:rsid w:val="002902EA"/>
    <w:rsid w:val="00294B50"/>
    <w:rsid w:val="002960B7"/>
    <w:rsid w:val="00296F41"/>
    <w:rsid w:val="002A26BA"/>
    <w:rsid w:val="002A3BB1"/>
    <w:rsid w:val="002A673A"/>
    <w:rsid w:val="002B0B24"/>
    <w:rsid w:val="002B4669"/>
    <w:rsid w:val="002C0B1C"/>
    <w:rsid w:val="002C347E"/>
    <w:rsid w:val="002C6C0A"/>
    <w:rsid w:val="002D2489"/>
    <w:rsid w:val="002D6137"/>
    <w:rsid w:val="002F0673"/>
    <w:rsid w:val="002F1312"/>
    <w:rsid w:val="002F2649"/>
    <w:rsid w:val="002F2B5C"/>
    <w:rsid w:val="002F5857"/>
    <w:rsid w:val="002F58B2"/>
    <w:rsid w:val="003001FE"/>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630B"/>
    <w:rsid w:val="00344646"/>
    <w:rsid w:val="003531EF"/>
    <w:rsid w:val="003706D7"/>
    <w:rsid w:val="00372F74"/>
    <w:rsid w:val="0037798F"/>
    <w:rsid w:val="00380E17"/>
    <w:rsid w:val="0038105E"/>
    <w:rsid w:val="003818DA"/>
    <w:rsid w:val="0038251E"/>
    <w:rsid w:val="00385A0C"/>
    <w:rsid w:val="00387C63"/>
    <w:rsid w:val="003A33E2"/>
    <w:rsid w:val="003A6F89"/>
    <w:rsid w:val="003B0269"/>
    <w:rsid w:val="003B07C8"/>
    <w:rsid w:val="003B0EDA"/>
    <w:rsid w:val="003B46E4"/>
    <w:rsid w:val="003C0139"/>
    <w:rsid w:val="003C2D16"/>
    <w:rsid w:val="003C391A"/>
    <w:rsid w:val="003C4C28"/>
    <w:rsid w:val="003D389E"/>
    <w:rsid w:val="003D3E06"/>
    <w:rsid w:val="003D43FB"/>
    <w:rsid w:val="003D5A87"/>
    <w:rsid w:val="003F0A37"/>
    <w:rsid w:val="003F5567"/>
    <w:rsid w:val="004028F9"/>
    <w:rsid w:val="0040473E"/>
    <w:rsid w:val="0041110D"/>
    <w:rsid w:val="00412830"/>
    <w:rsid w:val="00415390"/>
    <w:rsid w:val="00415935"/>
    <w:rsid w:val="0041786C"/>
    <w:rsid w:val="00421AE1"/>
    <w:rsid w:val="0042714B"/>
    <w:rsid w:val="00427695"/>
    <w:rsid w:val="00431D6F"/>
    <w:rsid w:val="00432364"/>
    <w:rsid w:val="00433CDA"/>
    <w:rsid w:val="00434DB1"/>
    <w:rsid w:val="00441735"/>
    <w:rsid w:val="00443068"/>
    <w:rsid w:val="004440D3"/>
    <w:rsid w:val="00451FAC"/>
    <w:rsid w:val="00452202"/>
    <w:rsid w:val="00460634"/>
    <w:rsid w:val="00463ECE"/>
    <w:rsid w:val="004644C2"/>
    <w:rsid w:val="0046503F"/>
    <w:rsid w:val="0047087F"/>
    <w:rsid w:val="00471DC3"/>
    <w:rsid w:val="00475959"/>
    <w:rsid w:val="00476AF1"/>
    <w:rsid w:val="004849FB"/>
    <w:rsid w:val="00486086"/>
    <w:rsid w:val="00487689"/>
    <w:rsid w:val="004929FF"/>
    <w:rsid w:val="004A226E"/>
    <w:rsid w:val="004A2E9E"/>
    <w:rsid w:val="004A34BD"/>
    <w:rsid w:val="004A7D4B"/>
    <w:rsid w:val="004B153D"/>
    <w:rsid w:val="004B1F78"/>
    <w:rsid w:val="004B7397"/>
    <w:rsid w:val="004C07CE"/>
    <w:rsid w:val="004C34A9"/>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80905"/>
    <w:rsid w:val="0059177A"/>
    <w:rsid w:val="00593419"/>
    <w:rsid w:val="005943EB"/>
    <w:rsid w:val="005966BD"/>
    <w:rsid w:val="005A016B"/>
    <w:rsid w:val="005A29EF"/>
    <w:rsid w:val="005A31C5"/>
    <w:rsid w:val="005A4141"/>
    <w:rsid w:val="005B273D"/>
    <w:rsid w:val="005B3221"/>
    <w:rsid w:val="005B5022"/>
    <w:rsid w:val="005C48D3"/>
    <w:rsid w:val="005C6C4B"/>
    <w:rsid w:val="005D664D"/>
    <w:rsid w:val="005E2279"/>
    <w:rsid w:val="005F0CC3"/>
    <w:rsid w:val="005F498A"/>
    <w:rsid w:val="00602F25"/>
    <w:rsid w:val="00603EC4"/>
    <w:rsid w:val="00606146"/>
    <w:rsid w:val="006078A0"/>
    <w:rsid w:val="00615A98"/>
    <w:rsid w:val="00624B3E"/>
    <w:rsid w:val="00630164"/>
    <w:rsid w:val="00632BB4"/>
    <w:rsid w:val="0063491E"/>
    <w:rsid w:val="0064054C"/>
    <w:rsid w:val="00641D19"/>
    <w:rsid w:val="0064480B"/>
    <w:rsid w:val="00644848"/>
    <w:rsid w:val="00645C7E"/>
    <w:rsid w:val="00646EE6"/>
    <w:rsid w:val="00647928"/>
    <w:rsid w:val="00660370"/>
    <w:rsid w:val="0066383C"/>
    <w:rsid w:val="006749DE"/>
    <w:rsid w:val="006806E4"/>
    <w:rsid w:val="00680803"/>
    <w:rsid w:val="00681F51"/>
    <w:rsid w:val="00685A4E"/>
    <w:rsid w:val="006871B6"/>
    <w:rsid w:val="006A040E"/>
    <w:rsid w:val="006A4B0F"/>
    <w:rsid w:val="006A60BE"/>
    <w:rsid w:val="006B12C7"/>
    <w:rsid w:val="006C1EE9"/>
    <w:rsid w:val="006C6F2A"/>
    <w:rsid w:val="006D79E2"/>
    <w:rsid w:val="006E66BA"/>
    <w:rsid w:val="006F64EB"/>
    <w:rsid w:val="0070410B"/>
    <w:rsid w:val="00705581"/>
    <w:rsid w:val="00710887"/>
    <w:rsid w:val="00717D88"/>
    <w:rsid w:val="007217AA"/>
    <w:rsid w:val="00727C77"/>
    <w:rsid w:val="0073199D"/>
    <w:rsid w:val="00732097"/>
    <w:rsid w:val="0073634F"/>
    <w:rsid w:val="00741BA9"/>
    <w:rsid w:val="0074228D"/>
    <w:rsid w:val="00746909"/>
    <w:rsid w:val="00751CF9"/>
    <w:rsid w:val="00757714"/>
    <w:rsid w:val="00764248"/>
    <w:rsid w:val="00765884"/>
    <w:rsid w:val="007813C0"/>
    <w:rsid w:val="00787781"/>
    <w:rsid w:val="0079369B"/>
    <w:rsid w:val="007942D3"/>
    <w:rsid w:val="00797BA8"/>
    <w:rsid w:val="007A78EE"/>
    <w:rsid w:val="007B226C"/>
    <w:rsid w:val="007B24EB"/>
    <w:rsid w:val="007B4346"/>
    <w:rsid w:val="007B6C09"/>
    <w:rsid w:val="007D14E6"/>
    <w:rsid w:val="007D3AA3"/>
    <w:rsid w:val="007D7615"/>
    <w:rsid w:val="007E09DA"/>
    <w:rsid w:val="007E10BD"/>
    <w:rsid w:val="007E18AC"/>
    <w:rsid w:val="007E1B89"/>
    <w:rsid w:val="007E5459"/>
    <w:rsid w:val="007F2720"/>
    <w:rsid w:val="007F59DB"/>
    <w:rsid w:val="0080343D"/>
    <w:rsid w:val="00803BF4"/>
    <w:rsid w:val="008134B8"/>
    <w:rsid w:val="008178B6"/>
    <w:rsid w:val="0082417D"/>
    <w:rsid w:val="008245A0"/>
    <w:rsid w:val="008370D9"/>
    <w:rsid w:val="008409D8"/>
    <w:rsid w:val="00844147"/>
    <w:rsid w:val="00855491"/>
    <w:rsid w:val="00860DF6"/>
    <w:rsid w:val="00863C33"/>
    <w:rsid w:val="00863F69"/>
    <w:rsid w:val="0086743A"/>
    <w:rsid w:val="00867B36"/>
    <w:rsid w:val="00871144"/>
    <w:rsid w:val="00872854"/>
    <w:rsid w:val="00881D24"/>
    <w:rsid w:val="00894A19"/>
    <w:rsid w:val="008A477F"/>
    <w:rsid w:val="008B14D5"/>
    <w:rsid w:val="008B7270"/>
    <w:rsid w:val="008C1B90"/>
    <w:rsid w:val="008C3382"/>
    <w:rsid w:val="008D4503"/>
    <w:rsid w:val="008D7034"/>
    <w:rsid w:val="008E2EC8"/>
    <w:rsid w:val="008E3E28"/>
    <w:rsid w:val="008F0A1C"/>
    <w:rsid w:val="008F1266"/>
    <w:rsid w:val="008F5B00"/>
    <w:rsid w:val="009004F7"/>
    <w:rsid w:val="00902123"/>
    <w:rsid w:val="009054BA"/>
    <w:rsid w:val="00907ABE"/>
    <w:rsid w:val="00907E2B"/>
    <w:rsid w:val="00910ACC"/>
    <w:rsid w:val="009132FB"/>
    <w:rsid w:val="00916814"/>
    <w:rsid w:val="00917990"/>
    <w:rsid w:val="00925FE4"/>
    <w:rsid w:val="00931B93"/>
    <w:rsid w:val="00933654"/>
    <w:rsid w:val="009352FA"/>
    <w:rsid w:val="009369AE"/>
    <w:rsid w:val="0094313E"/>
    <w:rsid w:val="009459ED"/>
    <w:rsid w:val="009468A3"/>
    <w:rsid w:val="009469E6"/>
    <w:rsid w:val="009505C9"/>
    <w:rsid w:val="009517BF"/>
    <w:rsid w:val="00953F3A"/>
    <w:rsid w:val="00954331"/>
    <w:rsid w:val="00954666"/>
    <w:rsid w:val="009620C2"/>
    <w:rsid w:val="00966335"/>
    <w:rsid w:val="00970EA8"/>
    <w:rsid w:val="00976A8E"/>
    <w:rsid w:val="009830B9"/>
    <w:rsid w:val="009831A5"/>
    <w:rsid w:val="0098437C"/>
    <w:rsid w:val="00985F72"/>
    <w:rsid w:val="009869BE"/>
    <w:rsid w:val="009934C1"/>
    <w:rsid w:val="0099629E"/>
    <w:rsid w:val="00997208"/>
    <w:rsid w:val="009A49FD"/>
    <w:rsid w:val="009B3AF5"/>
    <w:rsid w:val="009B7376"/>
    <w:rsid w:val="009C234D"/>
    <w:rsid w:val="009C40F1"/>
    <w:rsid w:val="009C4710"/>
    <w:rsid w:val="009D52D5"/>
    <w:rsid w:val="009D75EA"/>
    <w:rsid w:val="009D7DCE"/>
    <w:rsid w:val="009E0DEE"/>
    <w:rsid w:val="009E47AD"/>
    <w:rsid w:val="009F0D15"/>
    <w:rsid w:val="009F18B8"/>
    <w:rsid w:val="009F3837"/>
    <w:rsid w:val="009F510B"/>
    <w:rsid w:val="009F5421"/>
    <w:rsid w:val="00A0454B"/>
    <w:rsid w:val="00A04FC6"/>
    <w:rsid w:val="00A075B9"/>
    <w:rsid w:val="00A10DBA"/>
    <w:rsid w:val="00A135C5"/>
    <w:rsid w:val="00A241FC"/>
    <w:rsid w:val="00A26764"/>
    <w:rsid w:val="00A300D4"/>
    <w:rsid w:val="00A42B3A"/>
    <w:rsid w:val="00A43AFA"/>
    <w:rsid w:val="00A441EA"/>
    <w:rsid w:val="00A522AA"/>
    <w:rsid w:val="00A52383"/>
    <w:rsid w:val="00A54FAB"/>
    <w:rsid w:val="00A638EC"/>
    <w:rsid w:val="00A666A0"/>
    <w:rsid w:val="00A66807"/>
    <w:rsid w:val="00A7111B"/>
    <w:rsid w:val="00A72AF2"/>
    <w:rsid w:val="00A76A52"/>
    <w:rsid w:val="00A85567"/>
    <w:rsid w:val="00A87F9C"/>
    <w:rsid w:val="00A93FC7"/>
    <w:rsid w:val="00AA10B9"/>
    <w:rsid w:val="00AB5680"/>
    <w:rsid w:val="00AB5F62"/>
    <w:rsid w:val="00AB6333"/>
    <w:rsid w:val="00AB714E"/>
    <w:rsid w:val="00AC7376"/>
    <w:rsid w:val="00AD3141"/>
    <w:rsid w:val="00AF5CB7"/>
    <w:rsid w:val="00B0176E"/>
    <w:rsid w:val="00B01F54"/>
    <w:rsid w:val="00B0514E"/>
    <w:rsid w:val="00B128D0"/>
    <w:rsid w:val="00B137D2"/>
    <w:rsid w:val="00B1544A"/>
    <w:rsid w:val="00B16B02"/>
    <w:rsid w:val="00B17364"/>
    <w:rsid w:val="00B17A52"/>
    <w:rsid w:val="00B21DCB"/>
    <w:rsid w:val="00B26166"/>
    <w:rsid w:val="00B26776"/>
    <w:rsid w:val="00B27468"/>
    <w:rsid w:val="00B313ED"/>
    <w:rsid w:val="00B3369F"/>
    <w:rsid w:val="00B41A6C"/>
    <w:rsid w:val="00B4583D"/>
    <w:rsid w:val="00B4789D"/>
    <w:rsid w:val="00B50C13"/>
    <w:rsid w:val="00B53B11"/>
    <w:rsid w:val="00B5448C"/>
    <w:rsid w:val="00B64B95"/>
    <w:rsid w:val="00B6714B"/>
    <w:rsid w:val="00B676AB"/>
    <w:rsid w:val="00B7159E"/>
    <w:rsid w:val="00B71C5A"/>
    <w:rsid w:val="00B72F53"/>
    <w:rsid w:val="00B74B9D"/>
    <w:rsid w:val="00B77D13"/>
    <w:rsid w:val="00B81F54"/>
    <w:rsid w:val="00B905E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C6329"/>
    <w:rsid w:val="00BD004D"/>
    <w:rsid w:val="00BD208D"/>
    <w:rsid w:val="00BD6462"/>
    <w:rsid w:val="00BD662A"/>
    <w:rsid w:val="00BE027B"/>
    <w:rsid w:val="00BE65D7"/>
    <w:rsid w:val="00BE6975"/>
    <w:rsid w:val="00BF1C8C"/>
    <w:rsid w:val="00BF3F47"/>
    <w:rsid w:val="00BF7C62"/>
    <w:rsid w:val="00C05596"/>
    <w:rsid w:val="00C06FB1"/>
    <w:rsid w:val="00C17876"/>
    <w:rsid w:val="00C1788A"/>
    <w:rsid w:val="00C21435"/>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A165C"/>
    <w:rsid w:val="00CA17AD"/>
    <w:rsid w:val="00CA1EBA"/>
    <w:rsid w:val="00CA20C5"/>
    <w:rsid w:val="00CA69C8"/>
    <w:rsid w:val="00CB2E02"/>
    <w:rsid w:val="00CB56C6"/>
    <w:rsid w:val="00CC7DEB"/>
    <w:rsid w:val="00CD0565"/>
    <w:rsid w:val="00CD255D"/>
    <w:rsid w:val="00CD3AF0"/>
    <w:rsid w:val="00CE53BF"/>
    <w:rsid w:val="00CE5AA9"/>
    <w:rsid w:val="00CE7777"/>
    <w:rsid w:val="00CF1848"/>
    <w:rsid w:val="00CF1C28"/>
    <w:rsid w:val="00CF2608"/>
    <w:rsid w:val="00CF70B3"/>
    <w:rsid w:val="00D01B2C"/>
    <w:rsid w:val="00D03D2E"/>
    <w:rsid w:val="00D10D1C"/>
    <w:rsid w:val="00D156F8"/>
    <w:rsid w:val="00D16968"/>
    <w:rsid w:val="00D20DDD"/>
    <w:rsid w:val="00D2103B"/>
    <w:rsid w:val="00D2169D"/>
    <w:rsid w:val="00D22CDD"/>
    <w:rsid w:val="00D233C6"/>
    <w:rsid w:val="00D31026"/>
    <w:rsid w:val="00D35693"/>
    <w:rsid w:val="00D37DE5"/>
    <w:rsid w:val="00D40CE3"/>
    <w:rsid w:val="00D4282A"/>
    <w:rsid w:val="00D436C3"/>
    <w:rsid w:val="00D529F0"/>
    <w:rsid w:val="00D55B5D"/>
    <w:rsid w:val="00D64023"/>
    <w:rsid w:val="00D76A18"/>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4D2D"/>
    <w:rsid w:val="00DC61B9"/>
    <w:rsid w:val="00DC65AE"/>
    <w:rsid w:val="00DD118C"/>
    <w:rsid w:val="00DD4182"/>
    <w:rsid w:val="00DD43BB"/>
    <w:rsid w:val="00DE65E2"/>
    <w:rsid w:val="00DF2623"/>
    <w:rsid w:val="00DF30F0"/>
    <w:rsid w:val="00DF6007"/>
    <w:rsid w:val="00E040DD"/>
    <w:rsid w:val="00E06067"/>
    <w:rsid w:val="00E069E2"/>
    <w:rsid w:val="00E1145E"/>
    <w:rsid w:val="00E13124"/>
    <w:rsid w:val="00E16C02"/>
    <w:rsid w:val="00E23980"/>
    <w:rsid w:val="00E24AF9"/>
    <w:rsid w:val="00E27522"/>
    <w:rsid w:val="00E2780A"/>
    <w:rsid w:val="00E36441"/>
    <w:rsid w:val="00E41AF1"/>
    <w:rsid w:val="00E44659"/>
    <w:rsid w:val="00E54407"/>
    <w:rsid w:val="00E54EC5"/>
    <w:rsid w:val="00E5731E"/>
    <w:rsid w:val="00E643E3"/>
    <w:rsid w:val="00E66235"/>
    <w:rsid w:val="00E671EF"/>
    <w:rsid w:val="00E70296"/>
    <w:rsid w:val="00E71B4A"/>
    <w:rsid w:val="00E75953"/>
    <w:rsid w:val="00E807AD"/>
    <w:rsid w:val="00E83C24"/>
    <w:rsid w:val="00E935D1"/>
    <w:rsid w:val="00EA3C9C"/>
    <w:rsid w:val="00EA6A66"/>
    <w:rsid w:val="00EA79B0"/>
    <w:rsid w:val="00EB7408"/>
    <w:rsid w:val="00EC2503"/>
    <w:rsid w:val="00EC29F5"/>
    <w:rsid w:val="00ED3FB4"/>
    <w:rsid w:val="00EE06D8"/>
    <w:rsid w:val="00EE1719"/>
    <w:rsid w:val="00EE4AB4"/>
    <w:rsid w:val="00EE598E"/>
    <w:rsid w:val="00EE6B1E"/>
    <w:rsid w:val="00EE7E02"/>
    <w:rsid w:val="00EF611C"/>
    <w:rsid w:val="00EF76C3"/>
    <w:rsid w:val="00EF7F13"/>
    <w:rsid w:val="00F012B4"/>
    <w:rsid w:val="00F01BC7"/>
    <w:rsid w:val="00F04B67"/>
    <w:rsid w:val="00F05AA1"/>
    <w:rsid w:val="00F0784B"/>
    <w:rsid w:val="00F14CF0"/>
    <w:rsid w:val="00F15F9F"/>
    <w:rsid w:val="00F21140"/>
    <w:rsid w:val="00F24E7E"/>
    <w:rsid w:val="00F338EA"/>
    <w:rsid w:val="00F36E69"/>
    <w:rsid w:val="00F37F51"/>
    <w:rsid w:val="00F4394F"/>
    <w:rsid w:val="00F45F0F"/>
    <w:rsid w:val="00F50F61"/>
    <w:rsid w:val="00F5152F"/>
    <w:rsid w:val="00F60EFE"/>
    <w:rsid w:val="00F67181"/>
    <w:rsid w:val="00F67530"/>
    <w:rsid w:val="00F715EE"/>
    <w:rsid w:val="00F75CA0"/>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69DD"/>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link w:val="ParagraphedelisteCar"/>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 w:type="character" w:customStyle="1" w:styleId="ParagraphedelisteCar">
    <w:name w:val="Paragraphe de liste Car"/>
    <w:basedOn w:val="Policepardfaut"/>
    <w:link w:val="Paragraphedeliste"/>
    <w:uiPriority w:val="34"/>
    <w:qFormat/>
    <w:locked/>
    <w:rsid w:val="00EB7408"/>
    <w:rPr>
      <w:rFonts w:ascii="Times New Roman" w:eastAsia="Times New Roman" w:hAnsi="Times New Roman" w:cs="Times New Roman"/>
      <w:sz w:val="22"/>
      <w:szCs w:val="24"/>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decisions/cop-12/cop-12-dec-03-ru.pdf" TargetMode="External"/><Relationship Id="rId1" Type="http://schemas.openxmlformats.org/officeDocument/2006/relationships/hyperlink" Target="https://www.cbd.int/doc/c/e396/6963/c2faacc5ee5d92eddacc8246/sbi-02-07-add1-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BD3422"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BD3422"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2E5DA0"/>
    <w:rsid w:val="003A644B"/>
    <w:rsid w:val="00457408"/>
    <w:rsid w:val="005C5751"/>
    <w:rsid w:val="00795D65"/>
    <w:rsid w:val="007B37A3"/>
    <w:rsid w:val="007C585D"/>
    <w:rsid w:val="00BD3422"/>
    <w:rsid w:val="00CC68AE"/>
    <w:rsid w:val="00D34E56"/>
    <w:rsid w:val="00DF7856"/>
    <w:rsid w:val="00F418F4"/>
    <w:rsid w:val="00F659A9"/>
    <w:rsid w:val="00FC56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94F75A-0091-4ED3-9C03-92E846D0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1504</Words>
  <Characters>8273</Characters>
  <Application>Microsoft Office Word</Application>
  <DocSecurity>0</DocSecurity>
  <Lines>68</Lines>
  <Paragraphs>19</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9758</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CBD/COP/DEC/14/22</dc:subject>
  <dc:creator>SCBD</dc:creator>
  <cp:lastModifiedBy>Bureau</cp:lastModifiedBy>
  <cp:revision>4</cp:revision>
  <cp:lastPrinted>2018-10-14T15:07:00Z</cp:lastPrinted>
  <dcterms:created xsi:type="dcterms:W3CDTF">2019-01-22T21:17:00Z</dcterms:created>
  <dcterms:modified xsi:type="dcterms:W3CDTF">2019-02-06T16:26:00Z</dcterms:modified>
  <cp:contentStatus>CBD/COP/DEC/14/22</cp:contentStatus>
</cp:coreProperties>
</file>