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C9161D" w:rsidTr="00CF1848">
        <w:trPr>
          <w:trHeight w:val="709"/>
        </w:trPr>
        <w:tc>
          <w:tcPr>
            <w:tcW w:w="976" w:type="dxa"/>
            <w:tcBorders>
              <w:bottom w:val="single" w:sz="12" w:space="0" w:color="auto"/>
            </w:tcBorders>
          </w:tcPr>
          <w:p w:rsidR="00C9161D" w:rsidRDefault="00C9161D">
            <w:bookmarkStart w:id="0" w:name="_Hlk505247837"/>
            <w:r>
              <w:rPr>
                <w:noProof/>
                <w:lang w:val="en-US"/>
              </w:rPr>
              <w:drawing>
                <wp:inline distT="0" distB="0" distL="0" distR="0" wp14:anchorId="16CE2D51" wp14:editId="7EAD378A">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5141" w:type="dxa"/>
            <w:tcBorders>
              <w:bottom w:val="single" w:sz="12" w:space="0" w:color="auto"/>
            </w:tcBorders>
          </w:tcPr>
          <w:p w:rsidR="00C9161D" w:rsidRDefault="00C9161D">
            <w:r>
              <w:rPr>
                <w:noProof/>
                <w:lang w:val="en-US"/>
              </w:rPr>
              <w:drawing>
                <wp:inline distT="0" distB="0" distL="0" distR="0" wp14:anchorId="5638B566" wp14:editId="5893E51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090" w:type="dxa"/>
            <w:tcBorders>
              <w:bottom w:val="single" w:sz="12" w:space="0" w:color="auto"/>
            </w:tcBorders>
          </w:tcPr>
          <w:p w:rsidR="00C9161D" w:rsidRPr="00C9161D" w:rsidRDefault="00C9161D" w:rsidP="00C9161D">
            <w:pPr>
              <w:jc w:val="right"/>
              <w:rPr>
                <w:rFonts w:ascii="Arial" w:hAnsi="Arial" w:cs="Arial"/>
                <w:b/>
                <w:sz w:val="32"/>
                <w:szCs w:val="32"/>
              </w:rPr>
            </w:pPr>
            <w:r w:rsidRPr="00C9161D">
              <w:rPr>
                <w:rFonts w:ascii="Arial" w:hAnsi="Arial" w:cs="Arial"/>
                <w:b/>
                <w:sz w:val="32"/>
                <w:szCs w:val="32"/>
              </w:rPr>
              <w:t>CBD</w:t>
            </w:r>
          </w:p>
        </w:tc>
      </w:tr>
      <w:bookmarkEnd w:id="0"/>
      <w:tr w:rsidR="00C9161D" w:rsidTr="00CF1848">
        <w:tc>
          <w:tcPr>
            <w:tcW w:w="6117" w:type="dxa"/>
            <w:gridSpan w:val="2"/>
            <w:tcBorders>
              <w:top w:val="single" w:sz="12" w:space="0" w:color="auto"/>
              <w:bottom w:val="single" w:sz="36" w:space="0" w:color="auto"/>
            </w:tcBorders>
            <w:vAlign w:val="center"/>
          </w:tcPr>
          <w:p w:rsidR="00C9161D" w:rsidRDefault="00C9161D" w:rsidP="00C9161D">
            <w:r>
              <w:rPr>
                <w:noProof/>
                <w:lang w:val="en-US"/>
              </w:rPr>
              <w:drawing>
                <wp:inline distT="0" distB="0" distL="0" distR="0" wp14:anchorId="3CC897CB" wp14:editId="76742AEC">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rsidR="00C9161D" w:rsidRPr="00C9161D" w:rsidRDefault="00C9161D" w:rsidP="00176CEE">
            <w:pPr>
              <w:ind w:left="1215"/>
              <w:rPr>
                <w:szCs w:val="22"/>
              </w:rPr>
            </w:pPr>
            <w:r w:rsidRPr="00C9161D">
              <w:rPr>
                <w:szCs w:val="22"/>
              </w:rPr>
              <w:t>Distr.</w:t>
            </w:r>
          </w:p>
          <w:p w:rsidR="00C9161D" w:rsidRPr="00C9161D" w:rsidRDefault="00396CCF" w:rsidP="00176CEE">
            <w:pPr>
              <w:ind w:left="1215"/>
              <w:rPr>
                <w:szCs w:val="22"/>
              </w:rPr>
            </w:pPr>
            <w:sdt>
              <w:sdtPr>
                <w:rPr>
                  <w:caps/>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172AF6">
                  <w:rPr>
                    <w:caps/>
                    <w:szCs w:val="22"/>
                  </w:rPr>
                  <w:t>GENERAL</w:t>
                </w:r>
              </w:sdtContent>
            </w:sdt>
          </w:p>
          <w:p w:rsidR="00C9161D" w:rsidRPr="00C9161D" w:rsidRDefault="00C9161D" w:rsidP="00176CEE">
            <w:pPr>
              <w:ind w:left="1215"/>
              <w:rPr>
                <w:szCs w:val="22"/>
              </w:rPr>
            </w:pPr>
          </w:p>
          <w:p w:rsidR="00C9161D" w:rsidRPr="00C9161D" w:rsidRDefault="00396CCF" w:rsidP="00176CEE">
            <w:pPr>
              <w:ind w:left="1215"/>
              <w:rPr>
                <w:szCs w:val="22"/>
              </w:rPr>
            </w:pPr>
            <w:sdt>
              <w:sdtPr>
                <w:rPr>
                  <w:bCs/>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1B6DA3">
                  <w:rPr>
                    <w:bCs/>
                  </w:rPr>
                  <w:t>UNEP/</w:t>
                </w:r>
                <w:r w:rsidR="00660370" w:rsidRPr="00660370">
                  <w:rPr>
                    <w:bCs/>
                  </w:rPr>
                  <w:t>CBD/</w:t>
                </w:r>
                <w:r w:rsidR="00DD1B33">
                  <w:rPr>
                    <w:bCs/>
                  </w:rPr>
                  <w:t>COP/DEC/I</w:t>
                </w:r>
                <w:r>
                  <w:rPr>
                    <w:bCs/>
                  </w:rPr>
                  <w:t>/10</w:t>
                </w:r>
              </w:sdtContent>
            </w:sdt>
          </w:p>
          <w:p w:rsidR="00C9161D" w:rsidRPr="00C9161D" w:rsidRDefault="00396CCF" w:rsidP="00176CEE">
            <w:pPr>
              <w:ind w:left="1215"/>
              <w:rPr>
                <w:szCs w:val="22"/>
              </w:rPr>
            </w:pPr>
            <w:sdt>
              <w:sdtPr>
                <w:rPr>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1995-02-28T00:00:00Z">
                  <w:dateFormat w:val="d MMMM yyyy"/>
                  <w:lid w:val="en-US"/>
                  <w:storeMappedDataAs w:val="dateTime"/>
                  <w:calendar w:val="gregorian"/>
                </w:date>
              </w:sdtPr>
              <w:sdtEndPr/>
              <w:sdtContent>
                <w:r w:rsidR="001B6DA3">
                  <w:rPr>
                    <w:szCs w:val="22"/>
                    <w:lang w:val="en-US"/>
                  </w:rPr>
                  <w:t>28 February 1995</w:t>
                </w:r>
              </w:sdtContent>
            </w:sdt>
          </w:p>
          <w:p w:rsidR="00C9161D" w:rsidRPr="00C9161D" w:rsidRDefault="00C9161D" w:rsidP="00176CEE">
            <w:pPr>
              <w:ind w:left="1215"/>
              <w:rPr>
                <w:szCs w:val="22"/>
              </w:rPr>
            </w:pPr>
          </w:p>
          <w:p w:rsidR="00C9161D" w:rsidRPr="001B6DA3" w:rsidRDefault="00DD1B33" w:rsidP="001B6DA3">
            <w:pPr>
              <w:ind w:left="1215"/>
              <w:rPr>
                <w:szCs w:val="22"/>
              </w:rPr>
            </w:pPr>
            <w:r>
              <w:rPr>
                <w:szCs w:val="22"/>
              </w:rPr>
              <w:t xml:space="preserve">ORIGINAL: </w:t>
            </w:r>
            <w:r w:rsidR="00C9161D" w:rsidRPr="00C9161D">
              <w:rPr>
                <w:szCs w:val="22"/>
              </w:rPr>
              <w:t>ENGLISH</w:t>
            </w:r>
            <w:r w:rsidR="00172AF6">
              <w:rPr>
                <w:szCs w:val="22"/>
              </w:rPr>
              <w:t xml:space="preserve"> </w:t>
            </w:r>
          </w:p>
        </w:tc>
      </w:tr>
    </w:tbl>
    <w:p w:rsidR="001B6DA3" w:rsidRDefault="001B6DA3" w:rsidP="001B6DA3">
      <w:pPr>
        <w:pStyle w:val="Cornernotation"/>
        <w:ind w:left="227" w:right="4422" w:hanging="227"/>
        <w:rPr>
          <w:rFonts w:eastAsia="Malgun Gothic"/>
          <w:snapToGrid w:val="0"/>
          <w:kern w:val="22"/>
          <w:szCs w:val="22"/>
        </w:rPr>
      </w:pPr>
      <w:r w:rsidRPr="005440A6">
        <w:rPr>
          <w:rFonts w:eastAsia="Malgun Gothic"/>
          <w:snapToGrid w:val="0"/>
          <w:kern w:val="22"/>
          <w:szCs w:val="22"/>
        </w:rPr>
        <w:t>CONFERENCE OF THE PARTIES TO THE CONVENTION ON BIOLOGICAL DIVERSITY</w:t>
      </w:r>
    </w:p>
    <w:p w:rsidR="001B6DA3" w:rsidRDefault="001B6DA3" w:rsidP="001B6DA3">
      <w:pPr>
        <w:pStyle w:val="Cornernotation"/>
        <w:ind w:left="227" w:right="4422" w:hanging="227"/>
        <w:rPr>
          <w:szCs w:val="22"/>
        </w:rPr>
      </w:pPr>
      <w:r>
        <w:rPr>
          <w:rFonts w:eastAsia="Malgun Gothic"/>
          <w:snapToGrid w:val="0"/>
          <w:kern w:val="22"/>
          <w:szCs w:val="22"/>
        </w:rPr>
        <w:t>First meeting</w:t>
      </w:r>
      <w:r>
        <w:rPr>
          <w:szCs w:val="22"/>
        </w:rPr>
        <w:t xml:space="preserve"> </w:t>
      </w:r>
    </w:p>
    <w:p w:rsidR="00C9161D" w:rsidRPr="00660370" w:rsidRDefault="001B6DA3" w:rsidP="00660370">
      <w:pPr>
        <w:pStyle w:val="Cornernotation"/>
        <w:ind w:left="227" w:right="3548" w:hanging="227"/>
        <w:rPr>
          <w:szCs w:val="22"/>
        </w:rPr>
      </w:pPr>
      <w:r>
        <w:rPr>
          <w:szCs w:val="22"/>
        </w:rPr>
        <w:t>Nassau, 28 November</w:t>
      </w:r>
      <w:r>
        <w:rPr>
          <w:szCs w:val="22"/>
        </w:rPr>
        <w:softHyphen/>
        <w:t>9 December 1994</w:t>
      </w:r>
    </w:p>
    <w:p w:rsidR="00176CEE" w:rsidRPr="001B6DA3" w:rsidRDefault="00396CCF" w:rsidP="00660370">
      <w:pPr>
        <w:spacing w:before="120" w:after="240"/>
        <w:jc w:val="center"/>
        <w:rPr>
          <w:b/>
          <w:caps/>
          <w:szCs w:val="22"/>
        </w:rPr>
      </w:pPr>
      <w:sdt>
        <w:sdtPr>
          <w:rPr>
            <w:b/>
            <w:kern w:val="2"/>
            <w:szCs w:val="22"/>
          </w:rPr>
          <w:alias w:val="Title"/>
          <w:tag w:val=""/>
          <w:id w:val="772832786"/>
          <w:placeholder>
            <w:docPart w:val="2F635DBAB4524DC8B3348A7758D5E739"/>
          </w:placeholder>
          <w:dataBinding w:prefixMappings="xmlns:ns0='http://purl.org/dc/elements/1.1/' xmlns:ns1='http://schemas.openxmlformats.org/package/2006/metadata/core-properties' " w:xpath="/ns1:coreProperties[1]/ns0:title[1]" w:storeItemID="{6C3C8BC8-F283-45AE-878A-BAB7291924A1}"/>
          <w:text/>
        </w:sdtPr>
        <w:sdtEndPr/>
        <w:sdtContent>
          <w:r w:rsidR="001B6DA3" w:rsidRPr="001B6DA3">
            <w:rPr>
              <w:b/>
              <w:kern w:val="2"/>
              <w:szCs w:val="22"/>
            </w:rPr>
            <w:t>DECISION ADOPTED BY THE CONFERENCE OF THE PARTIES TO THE CONVENTION ON BIOLOGICAL DIVERSITY</w:t>
          </w:r>
          <w:r w:rsidR="0014310E">
            <w:rPr>
              <w:b/>
              <w:kern w:val="2"/>
              <w:szCs w:val="22"/>
            </w:rPr>
            <w:t xml:space="preserve"> AT ITS FIRST MEETING</w:t>
          </w:r>
        </w:sdtContent>
      </w:sdt>
      <w:r w:rsidR="00105372" w:rsidRPr="001B6DA3">
        <w:rPr>
          <w:b/>
          <w:caps/>
          <w:szCs w:val="22"/>
        </w:rPr>
        <w:t xml:space="preserve"> </w:t>
      </w:r>
    </w:p>
    <w:p w:rsidR="00BC77D2" w:rsidRPr="00BC77D2" w:rsidRDefault="00396CCF" w:rsidP="00396CCF">
      <w:pPr>
        <w:pStyle w:val="Heading2"/>
        <w:rPr>
          <w:lang w:val="en-US"/>
        </w:rPr>
      </w:pPr>
      <w:r>
        <w:t>I/10</w:t>
      </w:r>
      <w:r w:rsidR="001B6DA3">
        <w:t>.</w:t>
      </w:r>
      <w:r w:rsidR="001B6DA3">
        <w:tab/>
      </w:r>
      <w:r>
        <w:rPr>
          <w:lang w:val="en-US"/>
        </w:rPr>
        <w:t>Location of the Secretariat</w:t>
      </w:r>
    </w:p>
    <w:p w:rsidR="001B6DA3" w:rsidRDefault="001B6DA3" w:rsidP="001B6DA3">
      <w:pPr>
        <w:pStyle w:val="Heading2"/>
        <w:rPr>
          <w:lang w:val="en-US"/>
        </w:rPr>
      </w:pPr>
      <w:bookmarkStart w:id="1" w:name="_GoBack"/>
      <w:bookmarkEnd w:id="1"/>
    </w:p>
    <w:p w:rsidR="00DD1B33" w:rsidRDefault="00DD1B33" w:rsidP="0014310E">
      <w:pPr>
        <w:spacing w:before="120" w:after="120"/>
        <w:ind w:firstLine="630"/>
        <w:rPr>
          <w:i/>
          <w:color w:val="333333"/>
          <w:szCs w:val="22"/>
          <w:shd w:val="clear" w:color="auto" w:fill="FFFFFF"/>
        </w:rPr>
      </w:pPr>
      <w:r w:rsidRPr="0014310E">
        <w:rPr>
          <w:i/>
          <w:color w:val="333333"/>
          <w:szCs w:val="22"/>
          <w:shd w:val="clear" w:color="auto" w:fill="FFFFFF"/>
        </w:rPr>
        <w:t>The Conference of the Parties</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1.</w:t>
      </w:r>
      <w:r>
        <w:rPr>
          <w:color w:val="333333"/>
          <w:szCs w:val="22"/>
          <w:lang w:val="en-US"/>
        </w:rPr>
        <w:tab/>
      </w:r>
      <w:r w:rsidR="0093436F" w:rsidRPr="0093436F">
        <w:rPr>
          <w:i/>
          <w:color w:val="333333"/>
          <w:szCs w:val="22"/>
          <w:lang w:val="en-US"/>
        </w:rPr>
        <w:t>Decides</w:t>
      </w:r>
      <w:r w:rsidR="0093436F" w:rsidRPr="0093436F">
        <w:rPr>
          <w:color w:val="333333"/>
          <w:szCs w:val="22"/>
          <w:lang w:val="en-US"/>
        </w:rPr>
        <w:t> to consider and take a decision on the location of the Secretariat at its second meeting;</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2.</w:t>
      </w:r>
      <w:r>
        <w:rPr>
          <w:color w:val="333333"/>
          <w:szCs w:val="22"/>
          <w:lang w:val="en-US"/>
        </w:rPr>
        <w:tab/>
      </w:r>
      <w:r w:rsidR="0093436F" w:rsidRPr="0093436F">
        <w:rPr>
          <w:i/>
          <w:color w:val="333333"/>
          <w:szCs w:val="22"/>
          <w:lang w:val="en-US"/>
        </w:rPr>
        <w:t>Decides</w:t>
      </w:r>
      <w:r w:rsidR="0093436F" w:rsidRPr="0093436F">
        <w:rPr>
          <w:color w:val="333333"/>
          <w:szCs w:val="22"/>
          <w:lang w:val="en-US"/>
        </w:rPr>
        <w:t> to invite Parties interested in hosting the Secretariat to submit their offers to the Secretariat by 31 March 1995;</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3.</w:t>
      </w:r>
      <w:r>
        <w:rPr>
          <w:color w:val="333333"/>
          <w:szCs w:val="22"/>
          <w:lang w:val="en-US"/>
        </w:rPr>
        <w:tab/>
      </w:r>
      <w:r w:rsidR="0093436F" w:rsidRPr="0093436F">
        <w:rPr>
          <w:i/>
          <w:color w:val="333333"/>
          <w:szCs w:val="22"/>
          <w:lang w:val="en-US"/>
        </w:rPr>
        <w:t>Decides</w:t>
      </w:r>
      <w:r w:rsidR="0093436F" w:rsidRPr="0093436F">
        <w:rPr>
          <w:color w:val="333333"/>
          <w:szCs w:val="22"/>
          <w:lang w:val="en-US"/>
        </w:rPr>
        <w:t xml:space="preserve"> to invite those Parties to include in their offers, to the extent possible, details relating to </w:t>
      </w:r>
      <w:r w:rsidR="0093436F" w:rsidRPr="0093436F">
        <w:rPr>
          <w:i/>
          <w:color w:val="333333"/>
          <w:szCs w:val="22"/>
          <w:lang w:val="en-US"/>
        </w:rPr>
        <w:t>inter alia</w:t>
      </w:r>
      <w:r w:rsidR="0093436F" w:rsidRPr="0093436F">
        <w:rPr>
          <w:color w:val="333333"/>
          <w:szCs w:val="22"/>
          <w:lang w:val="en-US"/>
        </w:rPr>
        <w:t>:</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(a)</w:t>
      </w:r>
      <w:r>
        <w:rPr>
          <w:color w:val="333333"/>
          <w:szCs w:val="22"/>
          <w:lang w:val="en-US"/>
        </w:rPr>
        <w:tab/>
      </w:r>
      <w:r w:rsidR="0093436F" w:rsidRPr="0093436F">
        <w:rPr>
          <w:color w:val="333333"/>
          <w:szCs w:val="22"/>
          <w:lang w:val="en-US"/>
        </w:rPr>
        <w:t>Facilities to be made available, including offices, meeting rooms and conference facilities;</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(b)</w:t>
      </w:r>
      <w:r>
        <w:rPr>
          <w:color w:val="333333"/>
          <w:szCs w:val="22"/>
          <w:lang w:val="en-US"/>
        </w:rPr>
        <w:tab/>
      </w:r>
      <w:r w:rsidR="0093436F" w:rsidRPr="0093436F">
        <w:rPr>
          <w:color w:val="333333"/>
          <w:szCs w:val="22"/>
          <w:lang w:val="en-US"/>
        </w:rPr>
        <w:t>Availability of institutional support, including programmes of relevance to the Convention, academic programmes and representation of Parties through diplomatic offices;</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(c)</w:t>
      </w:r>
      <w:r>
        <w:rPr>
          <w:color w:val="333333"/>
          <w:szCs w:val="22"/>
          <w:lang w:val="en-US"/>
        </w:rPr>
        <w:tab/>
      </w:r>
      <w:r w:rsidR="0093436F" w:rsidRPr="0093436F">
        <w:rPr>
          <w:color w:val="333333"/>
          <w:szCs w:val="22"/>
          <w:lang w:val="en-US"/>
        </w:rPr>
        <w:t>Direct support, including financial and technical support;</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(d)</w:t>
      </w:r>
      <w:r>
        <w:rPr>
          <w:color w:val="333333"/>
          <w:szCs w:val="22"/>
          <w:lang w:val="en-US"/>
        </w:rPr>
        <w:tab/>
      </w:r>
      <w:r w:rsidR="0093436F" w:rsidRPr="0093436F">
        <w:rPr>
          <w:color w:val="333333"/>
          <w:szCs w:val="22"/>
          <w:lang w:val="en-US"/>
        </w:rPr>
        <w:t>Privileges and immunities to be extended to the Secretariat and its staff, including the nature of the headquarters agreement or other arrangement to be established with the Secretariat and diplomatic privileges for Secretariat staff and families;</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(e)</w:t>
      </w:r>
      <w:r>
        <w:rPr>
          <w:color w:val="333333"/>
          <w:szCs w:val="22"/>
          <w:lang w:val="en-US"/>
        </w:rPr>
        <w:tab/>
      </w:r>
      <w:r w:rsidR="0093436F" w:rsidRPr="0093436F">
        <w:rPr>
          <w:color w:val="333333"/>
          <w:szCs w:val="22"/>
          <w:lang w:val="en-US"/>
        </w:rPr>
        <w:t>State of civic amenities, including health and education facilities.</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4.</w:t>
      </w:r>
      <w:r>
        <w:rPr>
          <w:color w:val="333333"/>
          <w:szCs w:val="22"/>
          <w:lang w:val="en-US"/>
        </w:rPr>
        <w:tab/>
      </w:r>
      <w:r w:rsidR="0093436F" w:rsidRPr="0093436F">
        <w:rPr>
          <w:i/>
          <w:color w:val="333333"/>
          <w:szCs w:val="22"/>
          <w:lang w:val="en-US"/>
        </w:rPr>
        <w:t>Decides</w:t>
      </w:r>
      <w:r w:rsidR="0093436F" w:rsidRPr="0093436F">
        <w:rPr>
          <w:color w:val="333333"/>
          <w:szCs w:val="22"/>
          <w:lang w:val="en-US"/>
        </w:rPr>
        <w:t> to request the Secretariat to transmit all offers to the Parties, as an official document of the second meeting of the Conference of the Parties, by 31 May 1995;</w:t>
      </w:r>
    </w:p>
    <w:p w:rsidR="0093436F" w:rsidRPr="0093436F" w:rsidRDefault="0093436F" w:rsidP="00396CCF">
      <w:pPr>
        <w:shd w:val="clear" w:color="auto" w:fill="FFFFFF"/>
        <w:spacing w:before="120" w:after="120"/>
        <w:ind w:firstLine="720"/>
        <w:rPr>
          <w:color w:val="333333"/>
          <w:szCs w:val="22"/>
          <w:lang w:val="en-US"/>
        </w:rPr>
      </w:pPr>
      <w:r w:rsidRPr="0093436F">
        <w:rPr>
          <w:color w:val="333333"/>
          <w:szCs w:val="22"/>
          <w:lang w:val="en-US"/>
        </w:rPr>
        <w:t>5.</w:t>
      </w:r>
      <w:r w:rsidR="00396CCF">
        <w:rPr>
          <w:color w:val="333333"/>
          <w:szCs w:val="22"/>
          <w:lang w:val="en-US"/>
        </w:rPr>
        <w:tab/>
      </w:r>
      <w:r w:rsidRPr="0093436F">
        <w:rPr>
          <w:i/>
          <w:color w:val="333333"/>
          <w:szCs w:val="22"/>
          <w:lang w:val="en-US"/>
        </w:rPr>
        <w:t>Decides</w:t>
      </w:r>
      <w:r w:rsidRPr="0093436F">
        <w:rPr>
          <w:color w:val="333333"/>
          <w:szCs w:val="22"/>
          <w:lang w:val="en-US"/>
        </w:rPr>
        <w:t> that the second meeting of the Conference of the Parties will not be held in a country making an offer to host the Secretariat;</w:t>
      </w:r>
    </w:p>
    <w:p w:rsidR="0093436F" w:rsidRPr="0093436F" w:rsidRDefault="00396CCF" w:rsidP="00396CCF">
      <w:pPr>
        <w:shd w:val="clear" w:color="auto" w:fill="FFFFFF"/>
        <w:spacing w:before="120" w:after="120"/>
        <w:ind w:firstLine="720"/>
        <w:rPr>
          <w:color w:val="333333"/>
          <w:szCs w:val="22"/>
          <w:lang w:val="en-US"/>
        </w:rPr>
      </w:pPr>
      <w:r>
        <w:rPr>
          <w:color w:val="333333"/>
          <w:szCs w:val="22"/>
          <w:lang w:val="en-US"/>
        </w:rPr>
        <w:t>6.</w:t>
      </w:r>
      <w:r>
        <w:rPr>
          <w:color w:val="333333"/>
          <w:szCs w:val="22"/>
          <w:lang w:val="en-US"/>
        </w:rPr>
        <w:tab/>
      </w:r>
      <w:r w:rsidR="0093436F" w:rsidRPr="0093436F">
        <w:rPr>
          <w:i/>
          <w:color w:val="333333"/>
          <w:szCs w:val="22"/>
          <w:lang w:val="en-US"/>
        </w:rPr>
        <w:t>Decides</w:t>
      </w:r>
      <w:r w:rsidR="0093436F" w:rsidRPr="0093436F">
        <w:rPr>
          <w:color w:val="333333"/>
          <w:szCs w:val="22"/>
          <w:lang w:val="en-US"/>
        </w:rPr>
        <w:t> that, at its second meeting, it will make every effort to reach a decision on the location of the Secretariat by consensus. Recognizing the requirement of paragraph 1 of this decision, and, in the event consensus is not possible and, at the time of voting, rule 40, paragraph 1 of the rules of procedure has not been adopted, will for this item:</w:t>
      </w:r>
    </w:p>
    <w:p w:rsidR="0093436F" w:rsidRPr="0093436F" w:rsidRDefault="0093436F" w:rsidP="00396CCF">
      <w:pPr>
        <w:shd w:val="clear" w:color="auto" w:fill="FFFFFF"/>
        <w:spacing w:before="120" w:after="120"/>
        <w:ind w:firstLine="720"/>
        <w:rPr>
          <w:color w:val="333333"/>
          <w:szCs w:val="22"/>
          <w:lang w:val="en-US"/>
        </w:rPr>
      </w:pPr>
      <w:r w:rsidRPr="0093436F">
        <w:rPr>
          <w:color w:val="333333"/>
          <w:szCs w:val="22"/>
          <w:lang w:val="en-US"/>
        </w:rPr>
        <w:t xml:space="preserve">(a) </w:t>
      </w:r>
      <w:r w:rsidR="00396CCF">
        <w:rPr>
          <w:color w:val="333333"/>
          <w:szCs w:val="22"/>
          <w:lang w:val="en-US"/>
        </w:rPr>
        <w:tab/>
      </w:r>
      <w:r w:rsidRPr="0093436F">
        <w:rPr>
          <w:color w:val="333333"/>
          <w:szCs w:val="22"/>
          <w:lang w:val="en-US"/>
        </w:rPr>
        <w:t>Take a decision by a two-thirds majority of the Parties present and voting; and</w:t>
      </w:r>
    </w:p>
    <w:p w:rsidR="0093436F" w:rsidRPr="00396CCF" w:rsidRDefault="0093436F" w:rsidP="00396CCF">
      <w:pPr>
        <w:shd w:val="clear" w:color="auto" w:fill="FFFFFF"/>
        <w:spacing w:before="120" w:after="120"/>
        <w:ind w:firstLine="720"/>
        <w:rPr>
          <w:color w:val="333333"/>
          <w:szCs w:val="22"/>
          <w:lang w:val="en-US"/>
        </w:rPr>
      </w:pPr>
      <w:r w:rsidRPr="0093436F">
        <w:rPr>
          <w:color w:val="333333"/>
          <w:szCs w:val="22"/>
          <w:lang w:val="en-US"/>
        </w:rPr>
        <w:t xml:space="preserve">(b) </w:t>
      </w:r>
      <w:r w:rsidR="00396CCF">
        <w:rPr>
          <w:color w:val="333333"/>
          <w:szCs w:val="22"/>
          <w:lang w:val="en-US"/>
        </w:rPr>
        <w:tab/>
      </w:r>
      <w:r w:rsidRPr="0093436F">
        <w:rPr>
          <w:color w:val="333333"/>
          <w:szCs w:val="22"/>
          <w:lang w:val="en-US"/>
        </w:rPr>
        <w:t>If a two-thirds majority does not emerge for any one offer after the first round of voting, successive rounds will be taken, the offer receiving the least votes being eliminated after each round, until only two offers remain and one receives a two-thirds majority vote of the Parties present and voting.</w:t>
      </w:r>
    </w:p>
    <w:p w:rsidR="00412B62" w:rsidRPr="00396CCF" w:rsidRDefault="00412B62" w:rsidP="00396CCF">
      <w:pPr>
        <w:spacing w:before="120" w:after="120"/>
        <w:jc w:val="center"/>
        <w:rPr>
          <w:szCs w:val="22"/>
          <w:lang w:val="en-US"/>
        </w:rPr>
      </w:pPr>
      <w:r w:rsidRPr="00396CCF">
        <w:rPr>
          <w:szCs w:val="22"/>
          <w:lang w:val="en-US"/>
        </w:rPr>
        <w:t>__________</w:t>
      </w:r>
    </w:p>
    <w:sectPr w:rsidR="00412B62" w:rsidRPr="00396CCF" w:rsidSect="006632D3">
      <w:headerReference w:type="even" r:id="rId12"/>
      <w:headerReference w:type="default" r:id="rId13"/>
      <w:type w:val="continuous"/>
      <w:pgSz w:w="12240" w:h="15840"/>
      <w:pgMar w:top="567" w:right="1389" w:bottom="1134" w:left="138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AC1" w:rsidRDefault="000A0AC1" w:rsidP="00CF1848">
      <w:r>
        <w:separator/>
      </w:r>
    </w:p>
  </w:endnote>
  <w:endnote w:type="continuationSeparator" w:id="0">
    <w:p w:rsidR="000A0AC1" w:rsidRDefault="000A0AC1"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AC1" w:rsidRDefault="000A0AC1" w:rsidP="00CF1848">
      <w:r>
        <w:separator/>
      </w:r>
    </w:p>
  </w:footnote>
  <w:footnote w:type="continuationSeparator" w:id="0">
    <w:p w:rsidR="000A0AC1" w:rsidRDefault="000A0AC1" w:rsidP="00CF1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534681" w:rsidRDefault="00396CCF" w:rsidP="00534681">
        <w:pPr>
          <w:pStyle w:val="Header"/>
        </w:pPr>
        <w:r>
          <w:t>UNEP/CBD/COP/DEC/I/10</w:t>
        </w:r>
      </w:p>
    </w:sdtContent>
  </w:sdt>
  <w:p w:rsidR="00534681" w:rsidRDefault="00534681" w:rsidP="00534681">
    <w:pPr>
      <w:pStyle w:val="Header"/>
    </w:pPr>
    <w:r>
      <w:t xml:space="preserve">Page </w:t>
    </w:r>
    <w:r>
      <w:fldChar w:fldCharType="begin"/>
    </w:r>
    <w:r>
      <w:instrText xml:space="preserve"> PAGE   \* MERGEFORMAT </w:instrText>
    </w:r>
    <w:r>
      <w:fldChar w:fldCharType="separate"/>
    </w:r>
    <w:r w:rsidR="00396CCF">
      <w:rPr>
        <w:noProof/>
      </w:rPr>
      <w:t>2</w:t>
    </w:r>
    <w:r>
      <w:rPr>
        <w:noProof/>
      </w:rPr>
      <w:fldChar w:fldCharType="end"/>
    </w:r>
  </w:p>
  <w:p w:rsidR="00534681" w:rsidRDefault="005346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9505C9" w:rsidRDefault="00396CCF" w:rsidP="009505C9">
        <w:pPr>
          <w:pStyle w:val="Header"/>
          <w:jc w:val="right"/>
        </w:pPr>
        <w:r>
          <w:t>UNEP/CBD/COP/DEC/I/10</w:t>
        </w:r>
      </w:p>
    </w:sdtContent>
  </w:sdt>
  <w:p w:rsidR="009505C9" w:rsidRDefault="009505C9" w:rsidP="009505C9">
    <w:pPr>
      <w:pStyle w:val="Header"/>
      <w:jc w:val="right"/>
    </w:pPr>
    <w:r>
      <w:t xml:space="preserve">Page </w:t>
    </w:r>
    <w:r>
      <w:fldChar w:fldCharType="begin"/>
    </w:r>
    <w:r>
      <w:instrText xml:space="preserve"> PAGE   \* MERGEFORMAT </w:instrText>
    </w:r>
    <w:r>
      <w:fldChar w:fldCharType="separate"/>
    </w:r>
    <w:r w:rsidR="004107DC">
      <w:rPr>
        <w:noProof/>
      </w:rPr>
      <w:t>3</w:t>
    </w:r>
    <w:r>
      <w:rPr>
        <w:noProof/>
      </w:rPr>
      <w:fldChar w:fldCharType="end"/>
    </w:r>
  </w:p>
  <w:p w:rsidR="009505C9" w:rsidRDefault="00950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5"/>
  </w:num>
  <w:num w:numId="5">
    <w:abstractNumId w:val="4"/>
  </w:num>
  <w:num w:numId="6">
    <w:abstractNumId w:val="0"/>
  </w:num>
  <w:num w:numId="7">
    <w:abstractNumId w:val="1"/>
  </w:num>
  <w:num w:numId="8">
    <w:abstractNumId w:val="3"/>
    <w:lvlOverride w:ilvl="0">
      <w:startOverride w:val="1"/>
    </w:lvlOverride>
  </w:num>
  <w:num w:numId="9">
    <w:abstractNumId w:val="6"/>
  </w:num>
  <w:num w:numId="10">
    <w:abstractNumId w:val="3"/>
    <w:lvlOverride w:ilvl="0">
      <w:startOverride w:val="1"/>
    </w:lvlOverride>
  </w:num>
  <w:num w:numId="11">
    <w:abstractNumId w:val="3"/>
    <w:lvlOverride w:ilvl="0">
      <w:startOverride w:val="1"/>
    </w:lvlOverride>
  </w:num>
  <w:num w:numId="12">
    <w:abstractNumId w:val="3"/>
    <w:lvlOverride w:ilvl="0">
      <w:startOverride w:val="1"/>
    </w:lvlOverride>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1D"/>
    <w:rsid w:val="000A0AC1"/>
    <w:rsid w:val="000E673A"/>
    <w:rsid w:val="000F74F5"/>
    <w:rsid w:val="00105372"/>
    <w:rsid w:val="00131E7A"/>
    <w:rsid w:val="00136CD8"/>
    <w:rsid w:val="0014310E"/>
    <w:rsid w:val="00172AF6"/>
    <w:rsid w:val="00176CEE"/>
    <w:rsid w:val="001B6DA3"/>
    <w:rsid w:val="001C083C"/>
    <w:rsid w:val="001C0BA1"/>
    <w:rsid w:val="0023054F"/>
    <w:rsid w:val="002B6E20"/>
    <w:rsid w:val="00366122"/>
    <w:rsid w:val="00372F74"/>
    <w:rsid w:val="0038723F"/>
    <w:rsid w:val="00387517"/>
    <w:rsid w:val="00396CCF"/>
    <w:rsid w:val="004107DC"/>
    <w:rsid w:val="00412B62"/>
    <w:rsid w:val="00415390"/>
    <w:rsid w:val="004644C2"/>
    <w:rsid w:val="00534681"/>
    <w:rsid w:val="00660370"/>
    <w:rsid w:val="006632D3"/>
    <w:rsid w:val="006C2A28"/>
    <w:rsid w:val="00717D88"/>
    <w:rsid w:val="007942D3"/>
    <w:rsid w:val="007B6C09"/>
    <w:rsid w:val="007E09DA"/>
    <w:rsid w:val="008123BD"/>
    <w:rsid w:val="008178B6"/>
    <w:rsid w:val="00856840"/>
    <w:rsid w:val="0093436F"/>
    <w:rsid w:val="009505C9"/>
    <w:rsid w:val="00A22EB8"/>
    <w:rsid w:val="00A64CCA"/>
    <w:rsid w:val="00B124F4"/>
    <w:rsid w:val="00B17CBF"/>
    <w:rsid w:val="00B3369F"/>
    <w:rsid w:val="00B9407F"/>
    <w:rsid w:val="00BC77D2"/>
    <w:rsid w:val="00C17FD0"/>
    <w:rsid w:val="00C9161D"/>
    <w:rsid w:val="00CA69C8"/>
    <w:rsid w:val="00CB5658"/>
    <w:rsid w:val="00CF1848"/>
    <w:rsid w:val="00D76A18"/>
    <w:rsid w:val="00D94340"/>
    <w:rsid w:val="00DA4E53"/>
    <w:rsid w:val="00DD118C"/>
    <w:rsid w:val="00DD1B33"/>
    <w:rsid w:val="00E12238"/>
    <w:rsid w:val="00E629F0"/>
    <w:rsid w:val="00E66235"/>
    <w:rsid w:val="00E83C24"/>
    <w:rsid w:val="00E923F6"/>
    <w:rsid w:val="00EE1719"/>
    <w:rsid w:val="00F7189C"/>
    <w:rsid w:val="00F94774"/>
    <w:rsid w:val="00FC53DB"/>
    <w:rsid w:val="00FE3D4A"/>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6280A8F"/>
  <w15:docId w15:val="{8D861F63-7FA5-421A-A213-5DA99957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semiHidden/>
    <w:rsid w:val="007E09DA"/>
    <w:rPr>
      <w:sz w:val="18"/>
      <w:u w:val="single"/>
      <w:vertAlign w:val="baseline"/>
    </w:rPr>
  </w:style>
  <w:style w:type="paragraph" w:styleId="FootnoteText">
    <w:name w:val="footnote text"/>
    <w:basedOn w:val="Normal"/>
    <w:link w:val="FootnoteTextChar"/>
    <w:semiHidden/>
    <w:rsid w:val="007E09DA"/>
    <w:pPr>
      <w:keepLines/>
      <w:spacing w:after="60"/>
      <w:ind w:firstLine="720"/>
    </w:pPr>
    <w:rPr>
      <w:sz w:val="18"/>
    </w:rPr>
  </w:style>
  <w:style w:type="character" w:customStyle="1" w:styleId="FootnoteTextChar">
    <w:name w:val="Footnote Text Char"/>
    <w:basedOn w:val="DefaultParagraphFont"/>
    <w:link w:val="FootnoteText"/>
    <w:semiHidden/>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NormalWeb">
    <w:name w:val="Normal (Web)"/>
    <w:basedOn w:val="Normal"/>
    <w:uiPriority w:val="99"/>
    <w:semiHidden/>
    <w:unhideWhenUsed/>
    <w:rsid w:val="00DD1B33"/>
    <w:pPr>
      <w:spacing w:before="100" w:beforeAutospacing="1" w:after="100" w:afterAutospacing="1"/>
      <w:jc w:val="left"/>
    </w:pPr>
    <w:rPr>
      <w:sz w:val="24"/>
      <w:lang w:val="en-US"/>
    </w:rPr>
  </w:style>
  <w:style w:type="paragraph" w:styleId="ListParagraph">
    <w:name w:val="List Paragraph"/>
    <w:basedOn w:val="Normal"/>
    <w:uiPriority w:val="34"/>
    <w:qFormat/>
    <w:rsid w:val="002305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16586">
      <w:bodyDiv w:val="1"/>
      <w:marLeft w:val="0"/>
      <w:marRight w:val="0"/>
      <w:marTop w:val="0"/>
      <w:marBottom w:val="0"/>
      <w:divBdr>
        <w:top w:val="none" w:sz="0" w:space="0" w:color="auto"/>
        <w:left w:val="none" w:sz="0" w:space="0" w:color="auto"/>
        <w:bottom w:val="none" w:sz="0" w:space="0" w:color="auto"/>
        <w:right w:val="none" w:sz="0" w:space="0" w:color="auto"/>
      </w:divBdr>
    </w:div>
    <w:div w:id="1092705831">
      <w:bodyDiv w:val="1"/>
      <w:marLeft w:val="0"/>
      <w:marRight w:val="0"/>
      <w:marTop w:val="0"/>
      <w:marBottom w:val="0"/>
      <w:divBdr>
        <w:top w:val="none" w:sz="0" w:space="0" w:color="auto"/>
        <w:left w:val="none" w:sz="0" w:space="0" w:color="auto"/>
        <w:bottom w:val="none" w:sz="0" w:space="0" w:color="auto"/>
        <w:right w:val="none" w:sz="0" w:space="0" w:color="auto"/>
      </w:divBdr>
    </w:div>
    <w:div w:id="1200508377">
      <w:bodyDiv w:val="1"/>
      <w:marLeft w:val="0"/>
      <w:marRight w:val="0"/>
      <w:marTop w:val="0"/>
      <w:marBottom w:val="0"/>
      <w:divBdr>
        <w:top w:val="none" w:sz="0" w:space="0" w:color="auto"/>
        <w:left w:val="none" w:sz="0" w:space="0" w:color="auto"/>
        <w:bottom w:val="none" w:sz="0" w:space="0" w:color="auto"/>
        <w:right w:val="none" w:sz="0" w:space="0" w:color="auto"/>
      </w:divBdr>
    </w:div>
    <w:div w:id="2146044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2F635DBAB4524DC8B3348A7758D5E739"/>
        <w:category>
          <w:name w:val="General"/>
          <w:gallery w:val="placeholder"/>
        </w:category>
        <w:types>
          <w:type w:val="bbPlcHdr"/>
        </w:types>
        <w:behaviors>
          <w:behavior w:val="content"/>
        </w:behaviors>
        <w:guid w:val="{3040C501-16D2-46C8-8765-5F49856601E3}"/>
      </w:docPartPr>
      <w:docPartBody>
        <w:p w:rsidR="008D420E" w:rsidRDefault="00810A55">
          <w:r w:rsidRPr="007E02EB">
            <w:rPr>
              <w:rStyle w:val="PlaceholderText"/>
            </w:rPr>
            <w:t>[Title]</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55"/>
    <w:rsid w:val="00204ED8"/>
    <w:rsid w:val="00500A2B"/>
    <w:rsid w:val="0058288D"/>
    <w:rsid w:val="005E1DAB"/>
    <w:rsid w:val="0061507A"/>
    <w:rsid w:val="00641D75"/>
    <w:rsid w:val="006801B3"/>
    <w:rsid w:val="00810A55"/>
    <w:rsid w:val="008C6619"/>
    <w:rsid w:val="008D420E"/>
    <w:rsid w:val="00986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41D75"/>
    <w:rPr>
      <w:color w:val="808080"/>
    </w:rPr>
  </w:style>
  <w:style w:type="paragraph" w:customStyle="1" w:styleId="33C8955A16064D788A8FBDF550281F4F">
    <w:name w:val="33C8955A16064D788A8FBDF550281F4F"/>
    <w:rsid w:val="00641D7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1995-02-28T00:00:00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FAF3FB-34A4-4BCE-81B3-A77388EA6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DECISION ADOPTED BY THE CONFERENCE OF THE PARTIES TO THE CONVENTION ON BIOLOGICAL DIVERSITY AT ITS FIRST MEETING</vt:lpstr>
    </vt:vector>
  </TitlesOfParts>
  <Company>SCBD</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ADOPTED BY THE CONFERENCE OF THE PARTIES TO THE CONVENTION ON BIOLOGICAL DIVERSITY AT ITS FIRST MEETING</dc:title>
  <dc:subject>UNEP/CBD/COP/DEC/I/10</dc:subject>
  <dc:creator>SCBD</dc:creator>
  <cp:lastModifiedBy>veronique lefebvre</cp:lastModifiedBy>
  <cp:revision>3</cp:revision>
  <dcterms:created xsi:type="dcterms:W3CDTF">2018-02-14T19:12:00Z</dcterms:created>
  <dcterms:modified xsi:type="dcterms:W3CDTF">2018-02-14T19:15:00Z</dcterms:modified>
  <cp:contentStatus>GENERAL</cp:contentStatus>
</cp:coreProperties>
</file>