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CF1848">
        <w:trPr>
          <w:trHeight w:val="709"/>
        </w:trPr>
        <w:tc>
          <w:tcPr>
            <w:tcW w:w="976" w:type="dxa"/>
            <w:tcBorders>
              <w:bottom w:val="single" w:sz="12" w:space="0" w:color="auto"/>
            </w:tcBorders>
          </w:tcPr>
          <w:p w:rsidR="00C9161D" w:rsidRDefault="00C9161D">
            <w:bookmarkStart w:id="0" w:name="_Hlk505247837"/>
            <w:r>
              <w:rPr>
                <w:noProof/>
                <w:lang w:val="en-US"/>
              </w:rPr>
              <w:drawing>
                <wp:inline distT="0" distB="0" distL="0" distR="0" wp14:anchorId="16CE2D51" wp14:editId="7EAD37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Default="00C9161D">
            <w:r>
              <w:rPr>
                <w:noProof/>
                <w:lang w:val="en-US"/>
              </w:rPr>
              <w:drawing>
                <wp:inline distT="0" distB="0" distL="0" distR="0" wp14:anchorId="5638B566" wp14:editId="5893E51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bookmarkEnd w:id="0"/>
      <w:tr w:rsidR="00C9161D" w:rsidTr="00CF1848">
        <w:tc>
          <w:tcPr>
            <w:tcW w:w="6117" w:type="dxa"/>
            <w:gridSpan w:val="2"/>
            <w:tcBorders>
              <w:top w:val="single" w:sz="12" w:space="0" w:color="auto"/>
              <w:bottom w:val="single" w:sz="36" w:space="0" w:color="auto"/>
            </w:tcBorders>
            <w:vAlign w:val="center"/>
          </w:tcPr>
          <w:p w:rsidR="00C9161D" w:rsidRDefault="00C9161D" w:rsidP="00C9161D">
            <w:r>
              <w:rPr>
                <w:noProof/>
                <w:lang w:val="en-US"/>
              </w:rPr>
              <w:drawing>
                <wp:inline distT="0" distB="0" distL="0" distR="0" wp14:anchorId="3CC897CB" wp14:editId="76742AE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C9161D" w:rsidRDefault="00C9161D" w:rsidP="00176CEE">
            <w:pPr>
              <w:ind w:left="1215"/>
              <w:rPr>
                <w:szCs w:val="22"/>
              </w:rPr>
            </w:pPr>
            <w:r w:rsidRPr="00C9161D">
              <w:rPr>
                <w:szCs w:val="22"/>
              </w:rPr>
              <w:t>Distr.</w:t>
            </w:r>
          </w:p>
          <w:p w:rsidR="00C9161D" w:rsidRPr="00C9161D" w:rsidRDefault="00376AE7" w:rsidP="00176CEE">
            <w:pPr>
              <w:ind w:left="1215"/>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Content>
                <w:r w:rsidR="00172AF6">
                  <w:rPr>
                    <w:caps/>
                    <w:szCs w:val="22"/>
                  </w:rPr>
                  <w:t>GENERAL</w:t>
                </w:r>
              </w:sdtContent>
            </w:sdt>
          </w:p>
          <w:p w:rsidR="00C9161D" w:rsidRPr="00C9161D" w:rsidRDefault="00C9161D" w:rsidP="00176CEE">
            <w:pPr>
              <w:ind w:left="1215"/>
              <w:rPr>
                <w:szCs w:val="22"/>
              </w:rPr>
            </w:pPr>
          </w:p>
          <w:p w:rsidR="00C9161D" w:rsidRPr="00C9161D" w:rsidRDefault="00376AE7" w:rsidP="00176CEE">
            <w:pPr>
              <w:ind w:left="1215"/>
              <w:rPr>
                <w:szCs w:val="22"/>
              </w:rPr>
            </w:pPr>
            <w:sdt>
              <w:sdtPr>
                <w:rPr>
                  <w:bC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1B6DA3">
                  <w:rPr>
                    <w:bCs/>
                  </w:rPr>
                  <w:t>UNEP/</w:t>
                </w:r>
                <w:r w:rsidR="00660370" w:rsidRPr="00660370">
                  <w:rPr>
                    <w:bCs/>
                  </w:rPr>
                  <w:t>CBD/</w:t>
                </w:r>
                <w:r w:rsidR="00DD1B33">
                  <w:rPr>
                    <w:bCs/>
                  </w:rPr>
                  <w:t>COP/DEC/I</w:t>
                </w:r>
                <w:r>
                  <w:rPr>
                    <w:bCs/>
                  </w:rPr>
                  <w:t>/6</w:t>
                </w:r>
              </w:sdtContent>
            </w:sdt>
          </w:p>
          <w:p w:rsidR="00C9161D" w:rsidRPr="00C9161D" w:rsidRDefault="00376AE7" w:rsidP="00176CEE">
            <w:pPr>
              <w:ind w:left="1215"/>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1995-02-28T00:00:00Z">
                  <w:dateFormat w:val="d MMMM yyyy"/>
                  <w:lid w:val="en-US"/>
                  <w:storeMappedDataAs w:val="dateTime"/>
                  <w:calendar w:val="gregorian"/>
                </w:date>
              </w:sdtPr>
              <w:sdtContent>
                <w:r w:rsidR="001B6DA3">
                  <w:rPr>
                    <w:szCs w:val="22"/>
                    <w:lang w:val="en-US"/>
                  </w:rPr>
                  <w:t>28 February 1995</w:t>
                </w:r>
              </w:sdtContent>
            </w:sdt>
          </w:p>
          <w:p w:rsidR="00C9161D" w:rsidRPr="00C9161D" w:rsidRDefault="00C9161D" w:rsidP="00176CEE">
            <w:pPr>
              <w:ind w:left="1215"/>
              <w:rPr>
                <w:szCs w:val="22"/>
              </w:rPr>
            </w:pPr>
          </w:p>
          <w:p w:rsidR="00C9161D" w:rsidRPr="001B6DA3" w:rsidRDefault="00DD1B33" w:rsidP="001B6DA3">
            <w:pPr>
              <w:ind w:left="1215"/>
              <w:rPr>
                <w:szCs w:val="22"/>
              </w:rPr>
            </w:pPr>
            <w:r>
              <w:rPr>
                <w:szCs w:val="22"/>
              </w:rPr>
              <w:t xml:space="preserve">ORIGINAL: </w:t>
            </w:r>
            <w:r w:rsidR="00C9161D" w:rsidRPr="00C9161D">
              <w:rPr>
                <w:szCs w:val="22"/>
              </w:rPr>
              <w:t>ENGLISH</w:t>
            </w:r>
            <w:r w:rsidR="00172AF6">
              <w:rPr>
                <w:szCs w:val="22"/>
              </w:rPr>
              <w:t xml:space="preserve"> </w:t>
            </w:r>
          </w:p>
        </w:tc>
      </w:tr>
    </w:tbl>
    <w:p w:rsidR="001B6DA3" w:rsidRDefault="001B6DA3" w:rsidP="001B6DA3">
      <w:pPr>
        <w:pStyle w:val="Cornernotation"/>
        <w:ind w:left="227" w:right="4422" w:hanging="227"/>
        <w:rPr>
          <w:rFonts w:eastAsia="Malgun Gothic"/>
          <w:snapToGrid w:val="0"/>
          <w:kern w:val="22"/>
          <w:szCs w:val="22"/>
        </w:rPr>
      </w:pPr>
      <w:r w:rsidRPr="005440A6">
        <w:rPr>
          <w:rFonts w:eastAsia="Malgun Gothic"/>
          <w:snapToGrid w:val="0"/>
          <w:kern w:val="22"/>
          <w:szCs w:val="22"/>
        </w:rPr>
        <w:t>CONFERENCE OF THE PARTIES TO THE CONVENTION ON BIOLOGICAL DIVERSITY</w:t>
      </w:r>
    </w:p>
    <w:p w:rsidR="001B6DA3" w:rsidRDefault="001B6DA3" w:rsidP="001B6DA3">
      <w:pPr>
        <w:pStyle w:val="Cornernotation"/>
        <w:ind w:left="227" w:right="4422" w:hanging="227"/>
        <w:rPr>
          <w:szCs w:val="22"/>
        </w:rPr>
      </w:pPr>
      <w:r>
        <w:rPr>
          <w:rFonts w:eastAsia="Malgun Gothic"/>
          <w:snapToGrid w:val="0"/>
          <w:kern w:val="22"/>
          <w:szCs w:val="22"/>
        </w:rPr>
        <w:t>First meeting</w:t>
      </w:r>
      <w:r>
        <w:rPr>
          <w:szCs w:val="22"/>
        </w:rPr>
        <w:t xml:space="preserve"> </w:t>
      </w:r>
    </w:p>
    <w:p w:rsidR="00C9161D" w:rsidRPr="00660370" w:rsidRDefault="001B6DA3" w:rsidP="00660370">
      <w:pPr>
        <w:pStyle w:val="Cornernotation"/>
        <w:ind w:left="227" w:right="3548" w:hanging="227"/>
        <w:rPr>
          <w:szCs w:val="22"/>
        </w:rPr>
      </w:pPr>
      <w:r>
        <w:rPr>
          <w:szCs w:val="22"/>
        </w:rPr>
        <w:t>Nassau, 28 November</w:t>
      </w:r>
      <w:r>
        <w:rPr>
          <w:szCs w:val="22"/>
        </w:rPr>
        <w:softHyphen/>
        <w:t>9 December 1994</w:t>
      </w:r>
    </w:p>
    <w:p w:rsidR="00176CEE" w:rsidRPr="001B6DA3" w:rsidRDefault="00376AE7" w:rsidP="00660370">
      <w:pPr>
        <w:spacing w:before="120" w:after="240"/>
        <w:jc w:val="center"/>
        <w:rPr>
          <w:b/>
          <w:caps/>
          <w:szCs w:val="22"/>
        </w:rPr>
      </w:pPr>
      <w:sdt>
        <w:sdtPr>
          <w:rPr>
            <w:b/>
            <w:kern w:val="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1B6DA3" w:rsidRPr="001B6DA3">
            <w:rPr>
              <w:b/>
              <w:kern w:val="2"/>
              <w:szCs w:val="22"/>
            </w:rPr>
            <w:t>DECISION ADOPTED BY THE CONFERENCE OF THE PARTIES TO THE CONVENTION ON BIOLOGICAL DIVERSITY</w:t>
          </w:r>
          <w:r w:rsidR="0014310E">
            <w:rPr>
              <w:b/>
              <w:kern w:val="2"/>
              <w:szCs w:val="22"/>
            </w:rPr>
            <w:t xml:space="preserve"> AT ITS FIRST MEETING</w:t>
          </w:r>
        </w:sdtContent>
      </w:sdt>
      <w:r w:rsidR="00105372" w:rsidRPr="001B6DA3">
        <w:rPr>
          <w:b/>
          <w:caps/>
          <w:szCs w:val="22"/>
        </w:rPr>
        <w:t xml:space="preserve"> </w:t>
      </w:r>
    </w:p>
    <w:p w:rsidR="00BC77D2" w:rsidRPr="00BC77D2" w:rsidRDefault="00376AE7" w:rsidP="00376AE7">
      <w:pPr>
        <w:pStyle w:val="Heading2"/>
        <w:rPr>
          <w:lang w:val="en-US"/>
        </w:rPr>
      </w:pPr>
      <w:r>
        <w:t>I/6</w:t>
      </w:r>
      <w:r w:rsidR="001B6DA3">
        <w:t>.</w:t>
      </w:r>
      <w:r w:rsidR="001B6DA3">
        <w:tab/>
      </w:r>
      <w:r>
        <w:rPr>
          <w:lang w:val="en-US"/>
        </w:rPr>
        <w:t>Financing and budget of the Convention</w:t>
      </w:r>
    </w:p>
    <w:p w:rsidR="00376AE7" w:rsidRPr="00376AE7" w:rsidRDefault="00376AE7" w:rsidP="00376AE7">
      <w:pPr>
        <w:shd w:val="clear" w:color="auto" w:fill="FFFFFF"/>
        <w:spacing w:before="120" w:after="120"/>
        <w:jc w:val="center"/>
        <w:outlineLvl w:val="2"/>
        <w:rPr>
          <w:b/>
          <w:bCs/>
          <w:color w:val="333333"/>
          <w:szCs w:val="22"/>
          <w:lang w:val="en-US"/>
        </w:rPr>
      </w:pPr>
      <w:r w:rsidRPr="00376AE7">
        <w:rPr>
          <w:b/>
          <w:bCs/>
          <w:color w:val="333333"/>
          <w:szCs w:val="22"/>
          <w:u w:val="single"/>
          <w:lang w:val="en-US"/>
        </w:rPr>
        <w:t>Part I</w:t>
      </w:r>
    </w:p>
    <w:p w:rsidR="00376AE7" w:rsidRPr="00376AE7" w:rsidRDefault="00376AE7" w:rsidP="00376AE7">
      <w:pPr>
        <w:spacing w:before="120" w:after="120"/>
        <w:rPr>
          <w:i/>
          <w:szCs w:val="22"/>
          <w:lang w:val="en-US"/>
        </w:rPr>
      </w:pPr>
      <w:r w:rsidRPr="00376AE7">
        <w:rPr>
          <w:i/>
          <w:color w:val="333333"/>
          <w:szCs w:val="22"/>
          <w:shd w:val="clear" w:color="auto" w:fill="FFFFFF"/>
          <w:lang w:val="en-US"/>
        </w:rPr>
        <w:t>The Conference of the Parties</w:t>
      </w:r>
    </w:p>
    <w:p w:rsidR="00376AE7" w:rsidRPr="00376AE7" w:rsidRDefault="00376AE7" w:rsidP="00376AE7">
      <w:pPr>
        <w:shd w:val="clear" w:color="auto" w:fill="FFFFFF"/>
        <w:spacing w:before="120" w:after="120"/>
        <w:ind w:firstLine="720"/>
        <w:rPr>
          <w:color w:val="333333"/>
          <w:szCs w:val="22"/>
          <w:lang w:val="en-US"/>
        </w:rPr>
      </w:pPr>
      <w:r w:rsidRPr="00376AE7">
        <w:rPr>
          <w:color w:val="333333"/>
          <w:szCs w:val="22"/>
          <w:lang w:val="en-US"/>
        </w:rPr>
        <w:t>1.</w:t>
      </w:r>
      <w:r>
        <w:rPr>
          <w:color w:val="333333"/>
          <w:szCs w:val="22"/>
          <w:lang w:val="en-US"/>
        </w:rPr>
        <w:tab/>
      </w:r>
      <w:r w:rsidRPr="00376AE7">
        <w:rPr>
          <w:i/>
          <w:color w:val="333333"/>
          <w:szCs w:val="22"/>
          <w:lang w:val="en-US"/>
        </w:rPr>
        <w:t>Adopts</w:t>
      </w:r>
      <w:r w:rsidRPr="00376AE7">
        <w:rPr>
          <w:color w:val="333333"/>
          <w:szCs w:val="22"/>
          <w:lang w:val="en-US"/>
        </w:rPr>
        <w:t> the Financial Rules for the Administration of the Trust Fund for the Convention on Biological Diversity, which are attached as annex I to this decision, to apply in conjunction with the general procedures governing the operations of the Fund of the United Nations Environment Programme and the Financial Regulations and Rules of the United Nations;</w:t>
      </w:r>
    </w:p>
    <w:p w:rsidR="00376AE7" w:rsidRPr="00376AE7" w:rsidRDefault="00376AE7" w:rsidP="00376AE7">
      <w:pPr>
        <w:shd w:val="clear" w:color="auto" w:fill="FFFFFF"/>
        <w:spacing w:before="120" w:after="120"/>
        <w:ind w:firstLine="720"/>
        <w:rPr>
          <w:color w:val="333333"/>
          <w:szCs w:val="22"/>
          <w:lang w:val="en-US"/>
        </w:rPr>
      </w:pPr>
      <w:r w:rsidRPr="00376AE7">
        <w:rPr>
          <w:color w:val="333333"/>
          <w:szCs w:val="22"/>
          <w:lang w:val="en-US"/>
        </w:rPr>
        <w:t>2.</w:t>
      </w:r>
      <w:r>
        <w:rPr>
          <w:color w:val="333333"/>
          <w:szCs w:val="22"/>
          <w:lang w:val="en-US"/>
        </w:rPr>
        <w:tab/>
      </w:r>
      <w:r w:rsidRPr="00376AE7">
        <w:rPr>
          <w:i/>
          <w:color w:val="333333"/>
          <w:szCs w:val="22"/>
          <w:lang w:val="en-US"/>
        </w:rPr>
        <w:t>Designates</w:t>
      </w:r>
      <w:r w:rsidRPr="00376AE7">
        <w:rPr>
          <w:color w:val="333333"/>
          <w:szCs w:val="22"/>
          <w:lang w:val="en-US"/>
        </w:rPr>
        <w:t> the United Nations Environment Programme as the Trustee of the Trust Fund for the Convention on Biological Diversity;</w:t>
      </w:r>
    </w:p>
    <w:p w:rsidR="00376AE7" w:rsidRPr="00376AE7" w:rsidRDefault="00376AE7" w:rsidP="00376AE7">
      <w:pPr>
        <w:shd w:val="clear" w:color="auto" w:fill="FFFFFF"/>
        <w:spacing w:before="120" w:after="120"/>
        <w:ind w:firstLine="720"/>
        <w:rPr>
          <w:color w:val="333333"/>
          <w:szCs w:val="22"/>
          <w:lang w:val="en-US"/>
        </w:rPr>
      </w:pPr>
      <w:r w:rsidRPr="00376AE7">
        <w:rPr>
          <w:color w:val="333333"/>
          <w:szCs w:val="22"/>
          <w:lang w:val="en-US"/>
        </w:rPr>
        <w:t>3.</w:t>
      </w:r>
      <w:r>
        <w:rPr>
          <w:color w:val="333333"/>
          <w:szCs w:val="22"/>
          <w:lang w:val="en-US"/>
        </w:rPr>
        <w:tab/>
      </w:r>
      <w:r w:rsidRPr="00376AE7">
        <w:rPr>
          <w:i/>
          <w:color w:val="333333"/>
          <w:szCs w:val="22"/>
          <w:lang w:val="en-US"/>
        </w:rPr>
        <w:t>Decides</w:t>
      </w:r>
      <w:r w:rsidRPr="00376AE7">
        <w:rPr>
          <w:color w:val="333333"/>
          <w:szCs w:val="22"/>
          <w:lang w:val="en-US"/>
        </w:rPr>
        <w:t> that the Trust Fund shall be established for an initial period of two years, beginning on 1 January 1995 and ending on 31 December 1996;</w:t>
      </w:r>
    </w:p>
    <w:p w:rsidR="00376AE7" w:rsidRPr="00376AE7" w:rsidRDefault="00376AE7" w:rsidP="00376AE7">
      <w:pPr>
        <w:shd w:val="clear" w:color="auto" w:fill="FFFFFF"/>
        <w:spacing w:before="120" w:after="120"/>
        <w:ind w:firstLine="720"/>
        <w:rPr>
          <w:color w:val="333333"/>
          <w:szCs w:val="22"/>
          <w:lang w:val="en-US"/>
        </w:rPr>
      </w:pPr>
      <w:r w:rsidRPr="00376AE7">
        <w:rPr>
          <w:color w:val="333333"/>
          <w:szCs w:val="22"/>
          <w:lang w:val="en-US"/>
        </w:rPr>
        <w:t>4.</w:t>
      </w:r>
      <w:r>
        <w:rPr>
          <w:color w:val="333333"/>
          <w:szCs w:val="22"/>
          <w:lang w:val="en-US"/>
        </w:rPr>
        <w:tab/>
      </w:r>
      <w:r w:rsidRPr="00376AE7">
        <w:rPr>
          <w:i/>
          <w:color w:val="333333"/>
          <w:szCs w:val="22"/>
          <w:lang w:val="en-US"/>
        </w:rPr>
        <w:t>Adopts</w:t>
      </w:r>
      <w:r w:rsidRPr="00376AE7">
        <w:rPr>
          <w:color w:val="333333"/>
          <w:szCs w:val="22"/>
          <w:lang w:val="en-US"/>
        </w:rPr>
        <w:t> the budget for 1995, which is attached as annex II to this decision;</w:t>
      </w:r>
    </w:p>
    <w:p w:rsidR="00376AE7" w:rsidRPr="00376AE7" w:rsidRDefault="00376AE7" w:rsidP="00376AE7">
      <w:pPr>
        <w:shd w:val="clear" w:color="auto" w:fill="FFFFFF"/>
        <w:spacing w:before="120" w:after="120"/>
        <w:ind w:firstLine="720"/>
        <w:rPr>
          <w:color w:val="333333"/>
          <w:szCs w:val="22"/>
          <w:lang w:val="en-US"/>
        </w:rPr>
      </w:pPr>
      <w:r w:rsidRPr="00376AE7">
        <w:rPr>
          <w:color w:val="333333"/>
          <w:szCs w:val="22"/>
          <w:lang w:val="en-US"/>
        </w:rPr>
        <w:t>5.</w:t>
      </w:r>
      <w:r>
        <w:rPr>
          <w:color w:val="333333"/>
          <w:szCs w:val="22"/>
          <w:lang w:val="en-US"/>
        </w:rPr>
        <w:tab/>
      </w:r>
      <w:r w:rsidRPr="00376AE7">
        <w:rPr>
          <w:i/>
          <w:color w:val="333333"/>
          <w:szCs w:val="22"/>
          <w:lang w:val="en-US"/>
        </w:rPr>
        <w:t>Urges</w:t>
      </w:r>
      <w:r w:rsidRPr="00376AE7">
        <w:rPr>
          <w:color w:val="333333"/>
          <w:szCs w:val="22"/>
          <w:lang w:val="en-US"/>
        </w:rPr>
        <w:t> all the Parties to pay promptly their contributions to the Trust Fund, based on the scale set forth in the appendix to the budget;</w:t>
      </w:r>
    </w:p>
    <w:p w:rsidR="00376AE7" w:rsidRPr="00376AE7" w:rsidRDefault="00376AE7" w:rsidP="00376AE7">
      <w:pPr>
        <w:shd w:val="clear" w:color="auto" w:fill="FFFFFF"/>
        <w:spacing w:before="120" w:after="120"/>
        <w:ind w:firstLine="720"/>
        <w:rPr>
          <w:color w:val="333333"/>
          <w:szCs w:val="22"/>
          <w:lang w:val="en-US"/>
        </w:rPr>
      </w:pPr>
      <w:r w:rsidRPr="00376AE7">
        <w:rPr>
          <w:color w:val="333333"/>
          <w:szCs w:val="22"/>
          <w:lang w:val="en-US"/>
        </w:rPr>
        <w:t>6.</w:t>
      </w:r>
      <w:r>
        <w:rPr>
          <w:color w:val="333333"/>
          <w:szCs w:val="22"/>
          <w:lang w:val="en-US"/>
        </w:rPr>
        <w:tab/>
      </w:r>
      <w:r w:rsidRPr="00376AE7">
        <w:rPr>
          <w:i/>
          <w:color w:val="333333"/>
          <w:szCs w:val="22"/>
          <w:lang w:val="en-US"/>
        </w:rPr>
        <w:t>Requests</w:t>
      </w:r>
      <w:r w:rsidRPr="00376AE7">
        <w:rPr>
          <w:color w:val="333333"/>
          <w:szCs w:val="22"/>
          <w:lang w:val="en-US"/>
        </w:rPr>
        <w:t xml:space="preserve"> the Parties and States </w:t>
      </w:r>
      <w:proofErr w:type="gramStart"/>
      <w:r w:rsidRPr="00376AE7">
        <w:rPr>
          <w:color w:val="333333"/>
          <w:szCs w:val="22"/>
          <w:lang w:val="en-US"/>
        </w:rPr>
        <w:t>not</w:t>
      </w:r>
      <w:proofErr w:type="gramEnd"/>
      <w:r w:rsidRPr="00376AE7">
        <w:rPr>
          <w:color w:val="333333"/>
          <w:szCs w:val="22"/>
          <w:lang w:val="en-US"/>
        </w:rPr>
        <w:t xml:space="preserve"> Parties to the Convention, as well as governmental, intergovernmental and non-governmental organizations and other sources, to contribute to the Trust Fund;</w:t>
      </w:r>
    </w:p>
    <w:p w:rsidR="00376AE7" w:rsidRPr="00376AE7" w:rsidRDefault="00376AE7" w:rsidP="00376AE7">
      <w:pPr>
        <w:shd w:val="clear" w:color="auto" w:fill="FFFFFF"/>
        <w:spacing w:before="120" w:after="120"/>
        <w:ind w:firstLine="720"/>
        <w:rPr>
          <w:color w:val="333333"/>
          <w:szCs w:val="22"/>
          <w:lang w:val="en-US"/>
        </w:rPr>
      </w:pPr>
      <w:r w:rsidRPr="00376AE7">
        <w:rPr>
          <w:color w:val="333333"/>
          <w:szCs w:val="22"/>
          <w:lang w:val="en-US"/>
        </w:rPr>
        <w:t>7.</w:t>
      </w:r>
      <w:r>
        <w:rPr>
          <w:color w:val="333333"/>
          <w:szCs w:val="22"/>
          <w:lang w:val="en-US"/>
        </w:rPr>
        <w:tab/>
      </w:r>
      <w:r w:rsidRPr="00376AE7">
        <w:rPr>
          <w:i/>
          <w:color w:val="333333"/>
          <w:szCs w:val="22"/>
          <w:lang w:val="en-US"/>
        </w:rPr>
        <w:t>Requests</w:t>
      </w:r>
      <w:r w:rsidRPr="00376AE7">
        <w:rPr>
          <w:color w:val="333333"/>
          <w:szCs w:val="22"/>
          <w:lang w:val="en-US"/>
        </w:rPr>
        <w:t xml:space="preserve"> the Executive Director of the United Nations Environment Programme to ensure, by advances, that the 1995 budget of the Convention is financed </w:t>
      </w:r>
      <w:proofErr w:type="gramStart"/>
      <w:r w:rsidRPr="00376AE7">
        <w:rPr>
          <w:color w:val="333333"/>
          <w:szCs w:val="22"/>
          <w:lang w:val="en-US"/>
        </w:rPr>
        <w:t>until such time as</w:t>
      </w:r>
      <w:proofErr w:type="gramEnd"/>
      <w:r w:rsidRPr="00376AE7">
        <w:rPr>
          <w:color w:val="333333"/>
          <w:szCs w:val="22"/>
          <w:lang w:val="en-US"/>
        </w:rPr>
        <w:t xml:space="preserve"> sufficient contributions have been paid in 1995 to allow for the functioning of the Secretariat;</w:t>
      </w:r>
    </w:p>
    <w:p w:rsidR="00376AE7" w:rsidRPr="00376AE7" w:rsidRDefault="00376AE7" w:rsidP="00376AE7">
      <w:pPr>
        <w:shd w:val="clear" w:color="auto" w:fill="FFFFFF"/>
        <w:spacing w:before="120" w:after="120"/>
        <w:ind w:firstLine="720"/>
        <w:rPr>
          <w:color w:val="333333"/>
          <w:szCs w:val="22"/>
          <w:lang w:val="en-US"/>
        </w:rPr>
      </w:pPr>
      <w:r w:rsidRPr="00376AE7">
        <w:rPr>
          <w:color w:val="333333"/>
          <w:szCs w:val="22"/>
          <w:lang w:val="en-US"/>
        </w:rPr>
        <w:t>8.</w:t>
      </w:r>
      <w:r>
        <w:rPr>
          <w:color w:val="333333"/>
          <w:szCs w:val="22"/>
          <w:lang w:val="en-US"/>
        </w:rPr>
        <w:tab/>
      </w:r>
      <w:r w:rsidRPr="00376AE7">
        <w:rPr>
          <w:i/>
          <w:color w:val="333333"/>
          <w:szCs w:val="22"/>
          <w:lang w:val="en-US"/>
        </w:rPr>
        <w:t>Takes note</w:t>
      </w:r>
      <w:r w:rsidRPr="00376AE7">
        <w:rPr>
          <w:color w:val="333333"/>
          <w:szCs w:val="22"/>
          <w:lang w:val="en-US"/>
        </w:rPr>
        <w:t> of the indicative budget for 1996, also attached as annex II to this decision, and directs the Secretariat to prepare an indicative budget that would provide for implementing the remainder of the medium-term progra</w:t>
      </w:r>
      <w:bookmarkStart w:id="1" w:name="_GoBack"/>
      <w:bookmarkEnd w:id="1"/>
      <w:r w:rsidRPr="00376AE7">
        <w:rPr>
          <w:color w:val="333333"/>
          <w:szCs w:val="22"/>
          <w:lang w:val="en-US"/>
        </w:rPr>
        <w:t>mme of work;</w:t>
      </w:r>
    </w:p>
    <w:p w:rsidR="00376AE7" w:rsidRPr="00376AE7" w:rsidRDefault="00376AE7" w:rsidP="00376AE7">
      <w:pPr>
        <w:shd w:val="clear" w:color="auto" w:fill="FFFFFF"/>
        <w:spacing w:before="120" w:after="120"/>
        <w:ind w:firstLine="720"/>
        <w:rPr>
          <w:color w:val="333333"/>
          <w:szCs w:val="22"/>
          <w:lang w:val="en-US"/>
        </w:rPr>
      </w:pPr>
      <w:r w:rsidRPr="00376AE7">
        <w:rPr>
          <w:color w:val="333333"/>
          <w:szCs w:val="22"/>
          <w:lang w:val="en-US"/>
        </w:rPr>
        <w:t>9.</w:t>
      </w:r>
      <w:r>
        <w:rPr>
          <w:color w:val="333333"/>
          <w:szCs w:val="22"/>
          <w:lang w:val="en-US"/>
        </w:rPr>
        <w:tab/>
      </w:r>
      <w:r w:rsidRPr="00376AE7">
        <w:rPr>
          <w:i/>
          <w:color w:val="333333"/>
          <w:szCs w:val="22"/>
          <w:lang w:val="en-US"/>
        </w:rPr>
        <w:t>Directs</w:t>
      </w:r>
      <w:r w:rsidRPr="00376AE7">
        <w:rPr>
          <w:color w:val="333333"/>
          <w:szCs w:val="22"/>
          <w:lang w:val="en-US"/>
        </w:rPr>
        <w:t> the Secretariat to consider carefully all offers of support from other organizations and to cooperate with them with a view to making the most effective use of the competencies and resources available.</w:t>
      </w:r>
    </w:p>
    <w:p w:rsidR="00376AE7" w:rsidRPr="00376AE7" w:rsidRDefault="00376AE7" w:rsidP="00376AE7">
      <w:pPr>
        <w:shd w:val="clear" w:color="auto" w:fill="FFFFFF"/>
        <w:spacing w:before="120" w:after="120"/>
        <w:jc w:val="center"/>
        <w:outlineLvl w:val="2"/>
        <w:rPr>
          <w:b/>
          <w:bCs/>
          <w:color w:val="333333"/>
          <w:szCs w:val="22"/>
          <w:lang w:val="en-US"/>
        </w:rPr>
      </w:pPr>
      <w:r w:rsidRPr="00376AE7">
        <w:rPr>
          <w:b/>
          <w:bCs/>
          <w:color w:val="333333"/>
          <w:szCs w:val="22"/>
          <w:u w:val="single"/>
          <w:lang w:val="en-US"/>
        </w:rPr>
        <w:t>Part II</w:t>
      </w:r>
    </w:p>
    <w:p w:rsidR="00376AE7" w:rsidRPr="00376AE7" w:rsidRDefault="00376AE7" w:rsidP="00376AE7">
      <w:pPr>
        <w:spacing w:before="120" w:after="120"/>
        <w:ind w:firstLine="720"/>
        <w:rPr>
          <w:i/>
          <w:szCs w:val="22"/>
          <w:lang w:val="en-US"/>
        </w:rPr>
      </w:pPr>
      <w:r w:rsidRPr="00376AE7">
        <w:rPr>
          <w:i/>
          <w:color w:val="333333"/>
          <w:szCs w:val="22"/>
          <w:shd w:val="clear" w:color="auto" w:fill="FFFFFF"/>
          <w:lang w:val="en-US"/>
        </w:rPr>
        <w:t>The Conference of the Parties</w:t>
      </w:r>
    </w:p>
    <w:p w:rsidR="00376AE7" w:rsidRPr="00376AE7" w:rsidRDefault="00376AE7" w:rsidP="00376AE7">
      <w:pPr>
        <w:shd w:val="clear" w:color="auto" w:fill="FFFFFF"/>
        <w:spacing w:before="120" w:after="120"/>
        <w:ind w:firstLine="720"/>
        <w:rPr>
          <w:color w:val="333333"/>
          <w:szCs w:val="22"/>
          <w:lang w:val="en-US"/>
        </w:rPr>
      </w:pPr>
      <w:r>
        <w:rPr>
          <w:color w:val="333333"/>
          <w:szCs w:val="22"/>
          <w:lang w:val="en-US"/>
        </w:rPr>
        <w:t>1.</w:t>
      </w:r>
      <w:r>
        <w:rPr>
          <w:color w:val="333333"/>
          <w:szCs w:val="22"/>
          <w:lang w:val="en-US"/>
        </w:rPr>
        <w:tab/>
      </w:r>
      <w:r w:rsidRPr="00376AE7">
        <w:rPr>
          <w:i/>
          <w:color w:val="333333"/>
          <w:szCs w:val="22"/>
          <w:lang w:val="en-US"/>
        </w:rPr>
        <w:t>Adopts</w:t>
      </w:r>
      <w:r w:rsidRPr="00376AE7">
        <w:rPr>
          <w:color w:val="333333"/>
          <w:szCs w:val="22"/>
          <w:lang w:val="en-US"/>
        </w:rPr>
        <w:t xml:space="preserve"> for 1995 the scale for contributions contained in the Appendix to the budget (annex II), based on the United Nations scale of assessments for the apportionment of the expenses of the United Nations adjusted to provide that no one contribution shall exceed 25 per cent of the total and that no </w:t>
      </w:r>
      <w:r w:rsidRPr="00376AE7">
        <w:rPr>
          <w:color w:val="333333"/>
          <w:szCs w:val="22"/>
          <w:lang w:val="en-US"/>
        </w:rPr>
        <w:lastRenderedPageBreak/>
        <w:t>contribution from a least developed country Party shall exceed 0.01 per cent of the total. The contribution referred to in paragraph 3 (a) of the Financial Rules shall be due 1 January 1995;</w:t>
      </w:r>
    </w:p>
    <w:p w:rsidR="00376AE7" w:rsidRPr="00376AE7" w:rsidRDefault="00376AE7" w:rsidP="00376AE7">
      <w:pPr>
        <w:shd w:val="clear" w:color="auto" w:fill="FFFFFF"/>
        <w:spacing w:before="120" w:after="120"/>
        <w:ind w:firstLine="720"/>
        <w:rPr>
          <w:color w:val="333333"/>
          <w:szCs w:val="22"/>
          <w:lang w:val="en-US"/>
        </w:rPr>
      </w:pPr>
      <w:r>
        <w:rPr>
          <w:color w:val="333333"/>
          <w:szCs w:val="22"/>
          <w:lang w:val="en-US"/>
        </w:rPr>
        <w:t>2.</w:t>
      </w:r>
      <w:r>
        <w:rPr>
          <w:color w:val="333333"/>
          <w:szCs w:val="22"/>
          <w:lang w:val="en-US"/>
        </w:rPr>
        <w:tab/>
      </w:r>
      <w:r w:rsidRPr="00376AE7">
        <w:rPr>
          <w:i/>
          <w:color w:val="333333"/>
          <w:szCs w:val="22"/>
          <w:lang w:val="en-US"/>
        </w:rPr>
        <w:t>Being aware</w:t>
      </w:r>
      <w:r w:rsidRPr="00376AE7">
        <w:rPr>
          <w:color w:val="333333"/>
          <w:szCs w:val="22"/>
          <w:lang w:val="en-US"/>
        </w:rPr>
        <w:t> that a comprehensive review of all aspects of scale methodology is to be presented to the General Assembly of the United Nations at its fiftieth session, requests the Secretariat to make it available, as well as information related to scale methodology in other international organizations and information provided by Governments to assist the second meeting of the Conference of the Parties in its consideration of this matter;</w:t>
      </w:r>
    </w:p>
    <w:p w:rsidR="00376AE7" w:rsidRPr="00376AE7" w:rsidRDefault="00376AE7" w:rsidP="00376AE7">
      <w:pPr>
        <w:shd w:val="clear" w:color="auto" w:fill="FFFFFF"/>
        <w:spacing w:before="120" w:after="120"/>
        <w:ind w:firstLine="720"/>
        <w:rPr>
          <w:color w:val="333333"/>
          <w:szCs w:val="22"/>
          <w:lang w:val="en-US"/>
        </w:rPr>
      </w:pPr>
      <w:r>
        <w:rPr>
          <w:color w:val="333333"/>
          <w:szCs w:val="22"/>
          <w:lang w:val="en-US"/>
        </w:rPr>
        <w:t>3.</w:t>
      </w:r>
      <w:r>
        <w:rPr>
          <w:color w:val="333333"/>
          <w:szCs w:val="22"/>
          <w:lang w:val="en-US"/>
        </w:rPr>
        <w:tab/>
      </w:r>
      <w:r w:rsidRPr="00376AE7">
        <w:rPr>
          <w:i/>
          <w:color w:val="333333"/>
          <w:szCs w:val="22"/>
          <w:lang w:val="en-US"/>
        </w:rPr>
        <w:t>Decides</w:t>
      </w:r>
      <w:r w:rsidRPr="00376AE7">
        <w:rPr>
          <w:color w:val="333333"/>
          <w:szCs w:val="22"/>
          <w:lang w:val="en-US"/>
        </w:rPr>
        <w:t> to transfer to the next meeting of the Conference of the Parties, for further consideration, paragraph 4 of the Financial Rules contained in annex I of the present decision;</w:t>
      </w:r>
    </w:p>
    <w:p w:rsidR="00376AE7" w:rsidRPr="00376AE7" w:rsidRDefault="00376AE7" w:rsidP="00376AE7">
      <w:pPr>
        <w:shd w:val="clear" w:color="auto" w:fill="FFFFFF"/>
        <w:spacing w:before="120" w:after="120"/>
        <w:ind w:firstLine="720"/>
        <w:rPr>
          <w:color w:val="333333"/>
          <w:szCs w:val="22"/>
          <w:lang w:val="en-US"/>
        </w:rPr>
      </w:pPr>
      <w:r>
        <w:rPr>
          <w:color w:val="333333"/>
          <w:szCs w:val="22"/>
          <w:lang w:val="en-US"/>
        </w:rPr>
        <w:t>4.</w:t>
      </w:r>
      <w:r>
        <w:rPr>
          <w:color w:val="333333"/>
          <w:szCs w:val="22"/>
          <w:lang w:val="en-US"/>
        </w:rPr>
        <w:tab/>
      </w:r>
      <w:r w:rsidRPr="00376AE7">
        <w:rPr>
          <w:i/>
          <w:color w:val="333333"/>
          <w:szCs w:val="22"/>
          <w:lang w:val="en-US"/>
        </w:rPr>
        <w:t>Also decides</w:t>
      </w:r>
      <w:r w:rsidRPr="00376AE7">
        <w:rPr>
          <w:color w:val="333333"/>
          <w:szCs w:val="22"/>
          <w:lang w:val="en-US"/>
        </w:rPr>
        <w:t> to transmit paragraph 16 of the Financial Rules to the second meeting of the Conference of the Parties for further consideration;</w:t>
      </w:r>
    </w:p>
    <w:p w:rsidR="00376AE7" w:rsidRPr="00376AE7" w:rsidRDefault="00376AE7" w:rsidP="00376AE7">
      <w:pPr>
        <w:shd w:val="clear" w:color="auto" w:fill="FFFFFF"/>
        <w:spacing w:before="120" w:after="120"/>
        <w:ind w:firstLine="720"/>
        <w:rPr>
          <w:color w:val="333333"/>
          <w:szCs w:val="22"/>
          <w:lang w:val="en-US"/>
        </w:rPr>
      </w:pPr>
      <w:r>
        <w:rPr>
          <w:color w:val="333333"/>
          <w:szCs w:val="22"/>
          <w:lang w:val="en-US"/>
        </w:rPr>
        <w:t>5.</w:t>
      </w:r>
      <w:r>
        <w:rPr>
          <w:color w:val="333333"/>
          <w:szCs w:val="22"/>
          <w:lang w:val="en-US"/>
        </w:rPr>
        <w:tab/>
      </w:r>
      <w:r w:rsidRPr="00376AE7">
        <w:rPr>
          <w:i/>
          <w:color w:val="333333"/>
          <w:szCs w:val="22"/>
          <w:lang w:val="en-US"/>
        </w:rPr>
        <w:t>Decides</w:t>
      </w:r>
      <w:r w:rsidRPr="00376AE7">
        <w:rPr>
          <w:color w:val="333333"/>
          <w:szCs w:val="22"/>
          <w:lang w:val="en-US"/>
        </w:rPr>
        <w:t xml:space="preserve"> that at its second meeting it will agree upon and adopt a Financial Rule governing the determination of the scale, taking account of paragraphs 2 and 3 above, and a Financial Rule governing decision-making under the Financial Rules, </w:t>
      </w:r>
      <w:proofErr w:type="gramStart"/>
      <w:r w:rsidRPr="00376AE7">
        <w:rPr>
          <w:color w:val="333333"/>
          <w:szCs w:val="22"/>
          <w:lang w:val="en-US"/>
        </w:rPr>
        <w:t>taking into account</w:t>
      </w:r>
      <w:proofErr w:type="gramEnd"/>
      <w:r w:rsidRPr="00376AE7">
        <w:rPr>
          <w:color w:val="333333"/>
          <w:szCs w:val="22"/>
          <w:lang w:val="en-US"/>
        </w:rPr>
        <w:t xml:space="preserve"> paragraph 4 above.</w:t>
      </w:r>
    </w:p>
    <w:p w:rsidR="00376AE7" w:rsidRPr="00376AE7" w:rsidRDefault="00376AE7" w:rsidP="00376AE7">
      <w:pPr>
        <w:spacing w:before="120" w:after="120"/>
        <w:rPr>
          <w:szCs w:val="22"/>
          <w:lang w:val="en-US"/>
        </w:rPr>
      </w:pPr>
    </w:p>
    <w:p w:rsidR="00376AE7" w:rsidRPr="00376AE7" w:rsidRDefault="00376AE7" w:rsidP="00376AE7">
      <w:pPr>
        <w:shd w:val="clear" w:color="auto" w:fill="FFFFFF"/>
        <w:spacing w:before="120" w:after="120"/>
        <w:jc w:val="center"/>
        <w:outlineLvl w:val="1"/>
        <w:rPr>
          <w:i/>
          <w:color w:val="333333"/>
          <w:szCs w:val="22"/>
          <w:lang w:val="en-US"/>
        </w:rPr>
      </w:pPr>
      <w:r w:rsidRPr="00376AE7">
        <w:rPr>
          <w:i/>
          <w:color w:val="333333"/>
          <w:szCs w:val="22"/>
          <w:lang w:val="en-US"/>
        </w:rPr>
        <w:t>Annex I</w:t>
      </w:r>
    </w:p>
    <w:p w:rsidR="00376AE7" w:rsidRPr="00376AE7" w:rsidRDefault="00376AE7" w:rsidP="00376AE7">
      <w:pPr>
        <w:shd w:val="clear" w:color="auto" w:fill="FFFFFF"/>
        <w:spacing w:before="120" w:after="120"/>
        <w:jc w:val="center"/>
        <w:outlineLvl w:val="2"/>
        <w:rPr>
          <w:b/>
          <w:bCs/>
          <w:color w:val="333333"/>
          <w:szCs w:val="22"/>
          <w:lang w:val="en-US"/>
        </w:rPr>
      </w:pPr>
      <w:r w:rsidRPr="00376AE7">
        <w:rPr>
          <w:b/>
          <w:bCs/>
          <w:color w:val="333333"/>
          <w:szCs w:val="22"/>
          <w:lang w:val="en-US"/>
        </w:rPr>
        <w:t>FINANCIAL RULES FOR THE ADMINISTRATION OF THE TRUST FUND FOR THE CONVENTION ON BIOLOGICAL DIVERSITY</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1. </w:t>
      </w:r>
      <w:r>
        <w:rPr>
          <w:color w:val="333333"/>
          <w:szCs w:val="22"/>
          <w:lang w:val="en-US"/>
        </w:rPr>
        <w:tab/>
      </w:r>
      <w:r w:rsidRPr="00376AE7">
        <w:rPr>
          <w:color w:val="333333"/>
          <w:szCs w:val="22"/>
          <w:lang w:val="en-US"/>
        </w:rPr>
        <w:t>The Conference of the Parties to the Convention shall designate an organization (hereinafter referred to as the Trustee) which shall establish and manage the Trust Fund for the Convention on Biological Diversity (hereinafter referred to as the Trust Fund) in accordance with these rules.</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2. </w:t>
      </w:r>
      <w:r>
        <w:rPr>
          <w:color w:val="333333"/>
          <w:szCs w:val="22"/>
          <w:lang w:val="en-US"/>
        </w:rPr>
        <w:tab/>
      </w:r>
      <w:r w:rsidRPr="00376AE7">
        <w:rPr>
          <w:color w:val="333333"/>
          <w:szCs w:val="22"/>
          <w:lang w:val="en-US"/>
        </w:rPr>
        <w:t>The Trust Fund shall be used for funding the administration of the Convention including the functions of the Secretariat.</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3. </w:t>
      </w:r>
      <w:r>
        <w:rPr>
          <w:color w:val="333333"/>
          <w:szCs w:val="22"/>
          <w:lang w:val="en-US"/>
        </w:rPr>
        <w:tab/>
      </w:r>
      <w:r w:rsidRPr="00376AE7">
        <w:rPr>
          <w:color w:val="333333"/>
          <w:szCs w:val="22"/>
          <w:lang w:val="en-US"/>
        </w:rPr>
        <w:t>The Trust Fund shall be financed from:</w:t>
      </w:r>
    </w:p>
    <w:p w:rsidR="00376AE7" w:rsidRPr="00376AE7" w:rsidRDefault="00376AE7" w:rsidP="00376AE7">
      <w:pPr>
        <w:shd w:val="clear" w:color="auto" w:fill="FFFFFF"/>
        <w:spacing w:before="120" w:after="120"/>
        <w:ind w:firstLine="810"/>
        <w:rPr>
          <w:color w:val="333333"/>
          <w:szCs w:val="22"/>
          <w:lang w:val="en-US"/>
        </w:rPr>
      </w:pPr>
      <w:r w:rsidRPr="00376AE7">
        <w:rPr>
          <w:color w:val="333333"/>
          <w:szCs w:val="22"/>
          <w:lang w:val="en-US"/>
        </w:rPr>
        <w:t xml:space="preserve">(a) </w:t>
      </w:r>
      <w:r>
        <w:rPr>
          <w:color w:val="333333"/>
          <w:szCs w:val="22"/>
          <w:lang w:val="en-US"/>
        </w:rPr>
        <w:tab/>
      </w:r>
      <w:r w:rsidRPr="00376AE7">
        <w:rPr>
          <w:color w:val="333333"/>
          <w:szCs w:val="22"/>
          <w:lang w:val="en-US"/>
        </w:rPr>
        <w:t>Contributions made by Parties to the Convention based on the scale set forth in the Appendix to the budget;</w:t>
      </w:r>
    </w:p>
    <w:p w:rsidR="00376AE7" w:rsidRPr="00376AE7" w:rsidRDefault="00376AE7" w:rsidP="00376AE7">
      <w:pPr>
        <w:shd w:val="clear" w:color="auto" w:fill="FFFFFF"/>
        <w:spacing w:before="120" w:after="120"/>
        <w:ind w:firstLine="810"/>
        <w:rPr>
          <w:color w:val="333333"/>
          <w:szCs w:val="22"/>
          <w:lang w:val="en-US"/>
        </w:rPr>
      </w:pPr>
      <w:r w:rsidRPr="00376AE7">
        <w:rPr>
          <w:color w:val="333333"/>
          <w:szCs w:val="22"/>
          <w:lang w:val="en-US"/>
        </w:rPr>
        <w:t xml:space="preserve">(b) </w:t>
      </w:r>
      <w:r>
        <w:rPr>
          <w:color w:val="333333"/>
          <w:szCs w:val="22"/>
          <w:lang w:val="en-US"/>
        </w:rPr>
        <w:tab/>
      </w:r>
      <w:r w:rsidRPr="00376AE7">
        <w:rPr>
          <w:color w:val="333333"/>
          <w:szCs w:val="22"/>
          <w:lang w:val="en-US"/>
        </w:rPr>
        <w:t>Additional contributions made by such Parties;</w:t>
      </w:r>
    </w:p>
    <w:p w:rsidR="00376AE7" w:rsidRPr="00376AE7" w:rsidRDefault="00376AE7" w:rsidP="00376AE7">
      <w:pPr>
        <w:shd w:val="clear" w:color="auto" w:fill="FFFFFF"/>
        <w:spacing w:before="120" w:after="120"/>
        <w:ind w:firstLine="810"/>
        <w:rPr>
          <w:color w:val="333333"/>
          <w:szCs w:val="22"/>
          <w:lang w:val="en-US"/>
        </w:rPr>
      </w:pPr>
      <w:r w:rsidRPr="00376AE7">
        <w:rPr>
          <w:color w:val="333333"/>
          <w:szCs w:val="22"/>
          <w:lang w:val="en-US"/>
        </w:rPr>
        <w:t xml:space="preserve">(c) </w:t>
      </w:r>
      <w:r>
        <w:rPr>
          <w:color w:val="333333"/>
          <w:szCs w:val="22"/>
          <w:lang w:val="en-US"/>
        </w:rPr>
        <w:tab/>
      </w:r>
      <w:r w:rsidRPr="00376AE7">
        <w:rPr>
          <w:color w:val="333333"/>
          <w:szCs w:val="22"/>
          <w:lang w:val="en-US"/>
        </w:rPr>
        <w:t xml:space="preserve">Contributions from States </w:t>
      </w:r>
      <w:proofErr w:type="gramStart"/>
      <w:r w:rsidRPr="00376AE7">
        <w:rPr>
          <w:color w:val="333333"/>
          <w:szCs w:val="22"/>
          <w:lang w:val="en-US"/>
        </w:rPr>
        <w:t>not</w:t>
      </w:r>
      <w:proofErr w:type="gramEnd"/>
      <w:r w:rsidRPr="00376AE7">
        <w:rPr>
          <w:color w:val="333333"/>
          <w:szCs w:val="22"/>
          <w:lang w:val="en-US"/>
        </w:rPr>
        <w:t xml:space="preserve"> Parties to the Convention, as well as governmental, intergovernmental and non-governmental organizations, and other sources.</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4. </w:t>
      </w:r>
      <w:r>
        <w:rPr>
          <w:color w:val="333333"/>
          <w:szCs w:val="22"/>
          <w:lang w:val="en-US"/>
        </w:rPr>
        <w:tab/>
      </w:r>
      <w:r w:rsidRPr="00376AE7">
        <w:rPr>
          <w:color w:val="333333"/>
          <w:szCs w:val="22"/>
          <w:lang w:val="en-US"/>
        </w:rPr>
        <w:t>It is for the Conference of the Parties to determine the scale referred to in paragraph 3 (a) above. The scale is to be based on the United Nations scale of assessments for the apportionment of the expenses of the United Nations [adjusted to provide that no one contribution shall exceed 25 per cent of the total, [and] no contributions shall be required when the United Nations scale provides for a contribution of less than 0.1 per cent], [and no developing country Party shall be required to pay more than any developed country Party]. The contributions referred to in paragraph 3 (a) shall be due on 1 January of each calendar year.</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5. </w:t>
      </w:r>
      <w:r>
        <w:rPr>
          <w:color w:val="333333"/>
          <w:szCs w:val="22"/>
          <w:lang w:val="en-US"/>
        </w:rPr>
        <w:tab/>
      </w:r>
      <w:r w:rsidRPr="00376AE7">
        <w:rPr>
          <w:color w:val="333333"/>
          <w:szCs w:val="22"/>
          <w:lang w:val="en-US"/>
        </w:rPr>
        <w:t>All contributions shall be paid in United States dollars or its equivalent in a convertible currency and into a bank account to be specified by the Trustee. In conversion of currencies into United States dollars, the United Nations operational rate of exchange shall be used.</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6. </w:t>
      </w:r>
      <w:r>
        <w:rPr>
          <w:color w:val="333333"/>
          <w:szCs w:val="22"/>
          <w:lang w:val="en-US"/>
        </w:rPr>
        <w:tab/>
      </w:r>
      <w:r w:rsidRPr="00376AE7">
        <w:rPr>
          <w:color w:val="333333"/>
          <w:szCs w:val="22"/>
          <w:lang w:val="en-US"/>
        </w:rPr>
        <w:t>Accounting records shall be kept in such currency or currencies as the Trustee deems necessary.</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7. </w:t>
      </w:r>
      <w:r>
        <w:rPr>
          <w:color w:val="333333"/>
          <w:szCs w:val="22"/>
          <w:lang w:val="en-US"/>
        </w:rPr>
        <w:tab/>
      </w:r>
      <w:r w:rsidRPr="00376AE7">
        <w:rPr>
          <w:color w:val="333333"/>
          <w:szCs w:val="22"/>
          <w:lang w:val="en-US"/>
        </w:rPr>
        <w:t>(a) Budget proposals expressed in United States dollars covering the expenditure and income from contributions</w:t>
      </w:r>
      <w:r>
        <w:rPr>
          <w:color w:val="333333"/>
          <w:szCs w:val="22"/>
          <w:lang w:val="en-US"/>
        </w:rPr>
        <w:t xml:space="preserve"> </w:t>
      </w:r>
      <w:r w:rsidRPr="00376AE7">
        <w:rPr>
          <w:color w:val="333333"/>
          <w:szCs w:val="22"/>
          <w:lang w:val="en-US"/>
        </w:rPr>
        <w:t>referred to in paragraph 3 (a)</w:t>
      </w:r>
      <w:r>
        <w:rPr>
          <w:color w:val="333333"/>
          <w:szCs w:val="22"/>
          <w:lang w:val="en-US"/>
        </w:rPr>
        <w:t xml:space="preserve"> </w:t>
      </w:r>
      <w:r w:rsidRPr="00376AE7">
        <w:rPr>
          <w:color w:val="333333"/>
          <w:szCs w:val="22"/>
          <w:lang w:val="en-US"/>
        </w:rPr>
        <w:t>above</w:t>
      </w:r>
      <w:r>
        <w:rPr>
          <w:color w:val="333333"/>
          <w:szCs w:val="22"/>
          <w:lang w:val="en-US"/>
        </w:rPr>
        <w:t xml:space="preserve"> </w:t>
      </w:r>
      <w:r w:rsidRPr="00376AE7">
        <w:rPr>
          <w:color w:val="333333"/>
          <w:szCs w:val="22"/>
          <w:lang w:val="en-US"/>
        </w:rPr>
        <w:t>shall</w:t>
      </w:r>
      <w:r>
        <w:rPr>
          <w:color w:val="333333"/>
          <w:szCs w:val="22"/>
          <w:lang w:val="en-US"/>
        </w:rPr>
        <w:t xml:space="preserve"> </w:t>
      </w:r>
      <w:r w:rsidRPr="00376AE7">
        <w:rPr>
          <w:color w:val="333333"/>
          <w:szCs w:val="22"/>
          <w:lang w:val="en-US"/>
        </w:rPr>
        <w:t>be</w:t>
      </w:r>
      <w:r>
        <w:rPr>
          <w:color w:val="333333"/>
          <w:szCs w:val="22"/>
          <w:lang w:val="en-US"/>
        </w:rPr>
        <w:t xml:space="preserve"> </w:t>
      </w:r>
      <w:r w:rsidRPr="00376AE7">
        <w:rPr>
          <w:color w:val="333333"/>
          <w:szCs w:val="22"/>
          <w:lang w:val="en-US"/>
        </w:rPr>
        <w:t>prepared</w:t>
      </w:r>
      <w:r>
        <w:rPr>
          <w:color w:val="333333"/>
          <w:szCs w:val="22"/>
          <w:lang w:val="en-US"/>
        </w:rPr>
        <w:t xml:space="preserve"> </w:t>
      </w:r>
      <w:r w:rsidRPr="00376AE7">
        <w:rPr>
          <w:color w:val="333333"/>
          <w:szCs w:val="22"/>
          <w:lang w:val="en-US"/>
        </w:rPr>
        <w:t>by</w:t>
      </w:r>
      <w:r>
        <w:rPr>
          <w:color w:val="333333"/>
          <w:szCs w:val="22"/>
          <w:lang w:val="en-US"/>
        </w:rPr>
        <w:t xml:space="preserve"> </w:t>
      </w:r>
      <w:r w:rsidRPr="00376AE7">
        <w:rPr>
          <w:color w:val="333333"/>
          <w:szCs w:val="22"/>
          <w:lang w:val="en-US"/>
        </w:rPr>
        <w:t>the</w:t>
      </w:r>
      <w:r>
        <w:rPr>
          <w:color w:val="333333"/>
          <w:szCs w:val="22"/>
          <w:lang w:val="en-US"/>
        </w:rPr>
        <w:t xml:space="preserve"> </w:t>
      </w:r>
      <w:r w:rsidRPr="00376AE7">
        <w:rPr>
          <w:color w:val="333333"/>
          <w:szCs w:val="22"/>
          <w:lang w:val="en-US"/>
        </w:rPr>
        <w:t>head of the</w:t>
      </w:r>
      <w:r>
        <w:rPr>
          <w:color w:val="333333"/>
          <w:szCs w:val="22"/>
          <w:lang w:val="en-US"/>
        </w:rPr>
        <w:t xml:space="preserve"> </w:t>
      </w:r>
      <w:r w:rsidRPr="00376AE7">
        <w:rPr>
          <w:color w:val="333333"/>
          <w:szCs w:val="22"/>
          <w:lang w:val="en-US"/>
        </w:rPr>
        <w:t>Secretariat</w:t>
      </w:r>
      <w:r>
        <w:rPr>
          <w:color w:val="333333"/>
          <w:szCs w:val="22"/>
          <w:lang w:val="en-US"/>
        </w:rPr>
        <w:t xml:space="preserve"> </w:t>
      </w:r>
      <w:r w:rsidRPr="00376AE7">
        <w:rPr>
          <w:color w:val="333333"/>
          <w:szCs w:val="22"/>
          <w:lang w:val="en-US"/>
        </w:rPr>
        <w:t>(hereinafter referred to as the Executive Secretary) for periods of two calendar years at the minimum. At least 90 days before the date fixed for the opening of each ordinary meeting of the Conference of the Parties, these budget proposals shall be dispatched by the Executive Secretary to all Parties to the Convention.</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lastRenderedPageBreak/>
        <w:t>(b) The budget shall, in accordance with Rule 16, be approved by the Conference of the Parties and, if necessary, be revised at an ordinary or extraordinary meeting of the Parties.</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8. </w:t>
      </w:r>
      <w:r>
        <w:rPr>
          <w:color w:val="333333"/>
          <w:szCs w:val="22"/>
          <w:lang w:val="en-US"/>
        </w:rPr>
        <w:tab/>
      </w:r>
      <w:r w:rsidRPr="00376AE7">
        <w:rPr>
          <w:color w:val="333333"/>
          <w:szCs w:val="22"/>
          <w:lang w:val="en-US"/>
        </w:rPr>
        <w:t>Contributions referred to in paragraphs 3 (b) and (c) shall be used in accordance with any terms and conditions agreed between the Executive Secretary and the respective contributor. At each ordinary meeting of the Conference of the Parties, the Executive Secretary shall present a report on contributions received and expected as well as their sources, amounts, purposes and conditions.</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9. </w:t>
      </w:r>
      <w:r>
        <w:rPr>
          <w:color w:val="333333"/>
          <w:szCs w:val="22"/>
          <w:lang w:val="en-US"/>
        </w:rPr>
        <w:tab/>
      </w:r>
      <w:r w:rsidRPr="00376AE7">
        <w:rPr>
          <w:color w:val="333333"/>
          <w:szCs w:val="22"/>
          <w:lang w:val="en-US"/>
        </w:rPr>
        <w:t xml:space="preserve">The Executive Secretary may commit resources against the Trust Fund only if such commitments are covered by contributions already received. </w:t>
      </w:r>
      <w:proofErr w:type="gramStart"/>
      <w:r w:rsidRPr="00376AE7">
        <w:rPr>
          <w:color w:val="333333"/>
          <w:szCs w:val="22"/>
          <w:lang w:val="en-US"/>
        </w:rPr>
        <w:t>In the event that</w:t>
      </w:r>
      <w:proofErr w:type="gramEnd"/>
      <w:r w:rsidRPr="00376AE7">
        <w:rPr>
          <w:color w:val="333333"/>
          <w:szCs w:val="22"/>
          <w:lang w:val="en-US"/>
        </w:rPr>
        <w:t xml:space="preserve"> the Trustee anticipates that there might be a shortfall in resources over the financial period as a whole, it shall notify the Executive Secretary, who shall adjust the budget so that expenditures are at all times fully covered by contributions received.</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10. </w:t>
      </w:r>
      <w:r>
        <w:rPr>
          <w:color w:val="333333"/>
          <w:szCs w:val="22"/>
          <w:lang w:val="en-US"/>
        </w:rPr>
        <w:tab/>
      </w:r>
      <w:r w:rsidRPr="00376AE7">
        <w:rPr>
          <w:color w:val="333333"/>
          <w:szCs w:val="22"/>
          <w:lang w:val="en-US"/>
        </w:rPr>
        <w:t>The Trustee, on the advice of the Executive Secretary, may make transfers from one budget line to another within the budget in accordance with the Financial Regulations and Rules of the United Nations.</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11. </w:t>
      </w:r>
      <w:r>
        <w:rPr>
          <w:color w:val="333333"/>
          <w:szCs w:val="22"/>
          <w:lang w:val="en-US"/>
        </w:rPr>
        <w:tab/>
      </w:r>
      <w:r w:rsidRPr="00376AE7">
        <w:rPr>
          <w:color w:val="333333"/>
          <w:szCs w:val="22"/>
          <w:lang w:val="en-US"/>
        </w:rPr>
        <w:t>Contributions referred to in paragraph 3 (a) above from States and regional economic integration organizations that become Parties to the Convention after the beginning of a financial period shall be made </w:t>
      </w:r>
      <w:r w:rsidRPr="00376AE7">
        <w:rPr>
          <w:color w:val="333333"/>
          <w:szCs w:val="22"/>
          <w:u w:val="single"/>
          <w:lang w:val="en-US"/>
        </w:rPr>
        <w:t xml:space="preserve">pro rata </w:t>
      </w:r>
      <w:proofErr w:type="spellStart"/>
      <w:r w:rsidRPr="00376AE7">
        <w:rPr>
          <w:color w:val="333333"/>
          <w:szCs w:val="22"/>
          <w:u w:val="single"/>
          <w:lang w:val="en-US"/>
        </w:rPr>
        <w:t>temporis</w:t>
      </w:r>
      <w:proofErr w:type="spellEnd"/>
      <w:r w:rsidRPr="00376AE7">
        <w:rPr>
          <w:color w:val="333333"/>
          <w:szCs w:val="22"/>
          <w:lang w:val="en-US"/>
        </w:rPr>
        <w:t> for the balance of that financial period. Consequent adjustments shall be made at the end of each financial period for other Parties.</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12. </w:t>
      </w:r>
      <w:r>
        <w:rPr>
          <w:color w:val="333333"/>
          <w:szCs w:val="22"/>
          <w:lang w:val="en-US"/>
        </w:rPr>
        <w:tab/>
      </w:r>
      <w:r w:rsidRPr="00376AE7">
        <w:rPr>
          <w:color w:val="333333"/>
          <w:szCs w:val="22"/>
          <w:lang w:val="en-US"/>
        </w:rPr>
        <w:t>Contributions not immediately required for the purposes of the Trust Fund shall be invested and any interest so earned shall be credited to the Trust Fund.</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13. </w:t>
      </w:r>
      <w:r>
        <w:rPr>
          <w:color w:val="333333"/>
          <w:szCs w:val="22"/>
          <w:lang w:val="en-US"/>
        </w:rPr>
        <w:tab/>
      </w:r>
      <w:r w:rsidRPr="00376AE7">
        <w:rPr>
          <w:color w:val="333333"/>
          <w:szCs w:val="22"/>
          <w:lang w:val="en-US"/>
        </w:rPr>
        <w:t>It is for the Conference of the Parties and the Trustee to agree on an administrative support charge to be paid to the Trustee.</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14. </w:t>
      </w:r>
      <w:r>
        <w:rPr>
          <w:color w:val="333333"/>
          <w:szCs w:val="22"/>
          <w:lang w:val="en-US"/>
        </w:rPr>
        <w:tab/>
      </w:r>
      <w:r w:rsidRPr="00376AE7">
        <w:rPr>
          <w:color w:val="333333"/>
          <w:szCs w:val="22"/>
          <w:lang w:val="en-US"/>
        </w:rPr>
        <w:t>At the end of each calendar year, the Trustee shall transfer any balance to the following calendar year and submit to the Conference of the Parties, through the Executive Secretary, the certified and audited accounts for that year as soon as practicable. The Trust Fund shall be subjected to the internal and external auditing procedure of the United Nations as laid down in its Financial Regulations and Rules of the United Nations.</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15. </w:t>
      </w:r>
      <w:r>
        <w:rPr>
          <w:color w:val="333333"/>
          <w:szCs w:val="22"/>
          <w:lang w:val="en-US"/>
        </w:rPr>
        <w:tab/>
      </w:r>
      <w:proofErr w:type="gramStart"/>
      <w:r w:rsidRPr="00376AE7">
        <w:rPr>
          <w:color w:val="333333"/>
          <w:szCs w:val="22"/>
          <w:lang w:val="en-US"/>
        </w:rPr>
        <w:t>In the event that</w:t>
      </w:r>
      <w:proofErr w:type="gramEnd"/>
      <w:r w:rsidRPr="00376AE7">
        <w:rPr>
          <w:color w:val="333333"/>
          <w:szCs w:val="22"/>
          <w:lang w:val="en-US"/>
        </w:rPr>
        <w:t xml:space="preserve"> the Conference of the Parties decides to terminate the Trust Fund, a notification to that effect shall be presented to the Trustee at least six months before the date of termination selected by the Conference of the Parties. The Conference of the Parties shall decide, in consultation with the Trustee, on the distribution of any unspent balance after all liquidation expenses have been met.</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[16A. The Parties shall reach agreement by consensus on:</w:t>
      </w:r>
    </w:p>
    <w:p w:rsidR="00376AE7" w:rsidRPr="00376AE7" w:rsidRDefault="00376AE7" w:rsidP="00376AE7">
      <w:pPr>
        <w:shd w:val="clear" w:color="auto" w:fill="FFFFFF"/>
        <w:spacing w:before="120" w:after="120"/>
        <w:ind w:firstLine="720"/>
        <w:rPr>
          <w:color w:val="333333"/>
          <w:szCs w:val="22"/>
          <w:lang w:val="en-US"/>
        </w:rPr>
      </w:pPr>
      <w:r w:rsidRPr="00376AE7">
        <w:rPr>
          <w:color w:val="333333"/>
          <w:szCs w:val="22"/>
          <w:lang w:val="en-US"/>
        </w:rPr>
        <w:t xml:space="preserve">(a) </w:t>
      </w:r>
      <w:r>
        <w:rPr>
          <w:color w:val="333333"/>
          <w:szCs w:val="22"/>
          <w:lang w:val="en-US"/>
        </w:rPr>
        <w:tab/>
      </w:r>
      <w:r w:rsidRPr="00376AE7">
        <w:rPr>
          <w:color w:val="333333"/>
          <w:szCs w:val="22"/>
          <w:lang w:val="en-US"/>
        </w:rPr>
        <w:t>The scale and any subsequent revision to it;</w:t>
      </w:r>
    </w:p>
    <w:p w:rsidR="00376AE7" w:rsidRPr="00376AE7" w:rsidRDefault="00376AE7" w:rsidP="00376AE7">
      <w:pPr>
        <w:shd w:val="clear" w:color="auto" w:fill="FFFFFF"/>
        <w:spacing w:before="120" w:after="120"/>
        <w:ind w:firstLine="720"/>
        <w:rPr>
          <w:color w:val="333333"/>
          <w:szCs w:val="22"/>
          <w:lang w:val="en-US"/>
        </w:rPr>
      </w:pPr>
      <w:r w:rsidRPr="00376AE7">
        <w:rPr>
          <w:color w:val="333333"/>
          <w:szCs w:val="22"/>
          <w:lang w:val="en-US"/>
        </w:rPr>
        <w:t xml:space="preserve">(b) </w:t>
      </w:r>
      <w:r>
        <w:rPr>
          <w:color w:val="333333"/>
          <w:szCs w:val="22"/>
          <w:lang w:val="en-US"/>
        </w:rPr>
        <w:tab/>
      </w:r>
      <w:r w:rsidRPr="00376AE7">
        <w:rPr>
          <w:color w:val="333333"/>
          <w:szCs w:val="22"/>
          <w:lang w:val="en-US"/>
        </w:rPr>
        <w:t>The budget.]</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[16B. </w:t>
      </w:r>
      <w:r>
        <w:rPr>
          <w:color w:val="333333"/>
          <w:szCs w:val="22"/>
          <w:lang w:val="en-US"/>
        </w:rPr>
        <w:tab/>
      </w:r>
      <w:r w:rsidRPr="00376AE7">
        <w:rPr>
          <w:color w:val="333333"/>
          <w:szCs w:val="22"/>
          <w:lang w:val="en-US"/>
        </w:rPr>
        <w:t>The Parties shall make every effort to reach agreement on the budget by consensus. If all efforts to reach consensus on the budget have been exhausted and no agreement has been reached, the budget shall, as a last resort, be adopted by a [two-thirds] [four-fifths] majority vote of the Parties present and voting representing a [two-thirds] [four-fifths] majority vote of the developing country Parties present and voting and a [two-thirds] [four-fifths] majority vote of the other Parties present and voting.]</w:t>
      </w:r>
    </w:p>
    <w:p w:rsidR="00376AE7" w:rsidRPr="00376AE7" w:rsidRDefault="00376AE7" w:rsidP="00376AE7">
      <w:pPr>
        <w:shd w:val="clear" w:color="auto" w:fill="FFFFFF"/>
        <w:spacing w:before="120" w:after="120"/>
        <w:rPr>
          <w:color w:val="333333"/>
          <w:szCs w:val="22"/>
          <w:lang w:val="en-US"/>
        </w:rPr>
      </w:pPr>
      <w:r w:rsidRPr="00376AE7">
        <w:rPr>
          <w:color w:val="333333"/>
          <w:szCs w:val="22"/>
          <w:lang w:val="en-US"/>
        </w:rPr>
        <w:t xml:space="preserve">17. </w:t>
      </w:r>
      <w:r>
        <w:rPr>
          <w:color w:val="333333"/>
          <w:szCs w:val="22"/>
          <w:lang w:val="en-US"/>
        </w:rPr>
        <w:tab/>
      </w:r>
      <w:r w:rsidRPr="00376AE7">
        <w:rPr>
          <w:color w:val="333333"/>
          <w:szCs w:val="22"/>
          <w:lang w:val="en-US"/>
        </w:rPr>
        <w:t>Any amendments to these rules shall be adopted by the Conference of the Parties by consensus.</w:t>
      </w:r>
    </w:p>
    <w:p w:rsidR="00376AE7" w:rsidRPr="00376AE7" w:rsidRDefault="00376AE7" w:rsidP="00376AE7">
      <w:pPr>
        <w:jc w:val="left"/>
        <w:rPr>
          <w:szCs w:val="22"/>
          <w:lang w:val="en-US"/>
        </w:rPr>
      </w:pPr>
      <w:r w:rsidRPr="00376AE7">
        <w:rPr>
          <w:color w:val="333333"/>
          <w:szCs w:val="22"/>
          <w:lang w:val="en-US"/>
        </w:rPr>
        <w:br/>
      </w:r>
    </w:p>
    <w:p w:rsidR="00376AE7" w:rsidRPr="00376AE7" w:rsidRDefault="00376AE7" w:rsidP="00376AE7">
      <w:pPr>
        <w:keepNext/>
        <w:shd w:val="clear" w:color="auto" w:fill="FFFFFF"/>
        <w:spacing w:line="270" w:lineRule="atLeast"/>
        <w:jc w:val="center"/>
        <w:outlineLvl w:val="1"/>
        <w:rPr>
          <w:i/>
          <w:color w:val="333333"/>
          <w:szCs w:val="22"/>
          <w:lang w:val="en-US"/>
        </w:rPr>
      </w:pPr>
      <w:r w:rsidRPr="00376AE7">
        <w:rPr>
          <w:i/>
          <w:color w:val="333333"/>
          <w:szCs w:val="22"/>
          <w:lang w:val="en-US"/>
        </w:rPr>
        <w:lastRenderedPageBreak/>
        <w:t>Annex II</w:t>
      </w:r>
    </w:p>
    <w:p w:rsidR="00376AE7" w:rsidRPr="00376AE7" w:rsidRDefault="00376AE7" w:rsidP="00376AE7">
      <w:pPr>
        <w:pStyle w:val="Heading1"/>
        <w:rPr>
          <w:lang w:val="en-US"/>
        </w:rPr>
      </w:pPr>
      <w:r w:rsidRPr="00376AE7">
        <w:rPr>
          <w:lang w:val="en-US"/>
        </w:rPr>
        <w:t>PROPOSED BUDGET FOR 1995 AND INDICATIVE BUDGET FOR 1996 </w:t>
      </w:r>
      <w:r w:rsidRPr="00376AE7">
        <w:rPr>
          <w:lang w:val="en-US"/>
        </w:rPr>
        <w:br/>
        <w:t>(THOUSANDS OF US DOLLARS)</w:t>
      </w:r>
    </w:p>
    <w:p w:rsidR="00376AE7" w:rsidRPr="00376AE7" w:rsidRDefault="00376AE7" w:rsidP="00376AE7">
      <w:pPr>
        <w:jc w:val="left"/>
        <w:rPr>
          <w:szCs w:val="22"/>
          <w:lang w:val="en-US"/>
        </w:rPr>
      </w:pPr>
      <w:r w:rsidRPr="00376AE7">
        <w:rPr>
          <w:color w:val="333333"/>
          <w:szCs w:val="22"/>
          <w:lang w:val="en-US"/>
        </w:rPr>
        <w:br/>
      </w:r>
    </w:p>
    <w:tbl>
      <w:tblPr>
        <w:tblW w:w="3907" w:type="pct"/>
        <w:jc w:val="center"/>
        <w:tblCellSpacing w:w="15" w:type="dxa"/>
        <w:tblCellMar>
          <w:left w:w="0" w:type="dxa"/>
          <w:right w:w="0" w:type="dxa"/>
        </w:tblCellMar>
        <w:tblLook w:val="04A0" w:firstRow="1" w:lastRow="0" w:firstColumn="1" w:lastColumn="0" w:noHBand="0" w:noVBand="1"/>
      </w:tblPr>
      <w:tblGrid>
        <w:gridCol w:w="1947"/>
        <w:gridCol w:w="3219"/>
        <w:gridCol w:w="1009"/>
        <w:gridCol w:w="1206"/>
      </w:tblGrid>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b/>
                <w:bCs/>
                <w:color w:val="333333"/>
                <w:szCs w:val="22"/>
                <w:lang w:val="en-US"/>
              </w:rPr>
              <w:t>DESCRIPTION OF FUNCTIONS</w:t>
            </w:r>
          </w:p>
        </w:tc>
        <w:tc>
          <w:tcPr>
            <w:tcW w:w="2166"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b/>
                <w:bCs/>
                <w:color w:val="333333"/>
                <w:szCs w:val="22"/>
                <w:lang w:val="en-US"/>
              </w:rPr>
              <w:t>INPUTS</w:t>
            </w:r>
          </w:p>
        </w:tc>
        <w:tc>
          <w:tcPr>
            <w:tcW w:w="1447"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b/>
                <w:bCs/>
                <w:color w:val="333333"/>
                <w:szCs w:val="22"/>
                <w:lang w:val="en-US"/>
              </w:rPr>
              <w:t>COSTS</w:t>
            </w:r>
            <w:r w:rsidRPr="00376AE7">
              <w:rPr>
                <w:b/>
                <w:bCs/>
                <w:color w:val="333333"/>
                <w:szCs w:val="22"/>
                <w:lang w:val="en-US"/>
              </w:rPr>
              <w:br/>
              <w:t>(US dollars)</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1995</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1996</w:t>
            </w:r>
          </w:p>
        </w:tc>
      </w:tr>
      <w:tr w:rsidR="00376AE7" w:rsidRPr="00376AE7" w:rsidTr="00B15A6D">
        <w:trPr>
          <w:trHeight w:val="615"/>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1. EXECUTIVE DIRECTION AND MANAGEMENT</w:t>
            </w:r>
          </w:p>
        </w:tc>
      </w:tr>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Executive Secretary D-2</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182</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192</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Fund Management/Administration Officer (P-4 (*1)</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Special Assistant to the Executive Secretary P-2</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91</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96</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Administrative Assistant G-6/G-7</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96</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100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Senior Secretary G-5/G-6</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88</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92</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1</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457</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480</w:t>
            </w:r>
          </w:p>
        </w:tc>
      </w:tr>
      <w:tr w:rsidR="00376AE7" w:rsidRPr="00376AE7" w:rsidTr="00B15A6D">
        <w:trPr>
          <w:trHeight w:val="210"/>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rHeight w:val="645"/>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2. INTERGOVERNMENTAL PROCESSES AND COOPERATIVE ARRANGEMENTS</w:t>
            </w:r>
          </w:p>
        </w:tc>
      </w:tr>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Principal Officer D-1</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172</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181</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Secretary G-4/G-5</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84</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Consultants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21</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Informal expert consultations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32</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Servicing of COP meeting (6 languages, 10 working days, 2 working groups)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750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800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Travel of COP Bureau (10 people, four-day meeting, once a year)</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40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42</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Travel of staff to COP (1995-Geneva)</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100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2</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1102</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1260</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2.1 FINANCIAL MECHANISM AND ECONOMIC ANALYSIS</w:t>
            </w:r>
          </w:p>
        </w:tc>
      </w:tr>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Programme Officer-Lawyer P-4</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137</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144</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Consultants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50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2.1</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187</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144</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lastRenderedPageBreak/>
              <w:t> </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2.2 LEGAL ADVICE AND SUPPORT</w:t>
            </w:r>
          </w:p>
        </w:tc>
      </w:tr>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Programme Officer-Lawyer P-4</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137</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144</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Secretary G-4/G-5</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84</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Consultants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60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63</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2.2</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277</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291</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3. SCIENTIFIC, TECHNICAL AND TECHNOLOGICAL MATTERS</w:t>
            </w:r>
          </w:p>
        </w:tc>
      </w:tr>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Principal Officer D-1</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172</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181</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Programme Officer P-4</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137</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144</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Programme Officer P-4 (*2)</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Programme Officer P-4 (*3)</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Secretary G-4/G-5</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84</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Secretary G-4/G-5</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84</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Travel of staff to SBSTTA (1995-Paris)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78</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Servicing of SBSTTA meeting (6 languages, 5 working days, 1 working group) (*4)</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350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368</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Travel of SBSTTA Bureau</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32</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Travel of SBSTTA Panels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68</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Consultants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65</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70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3</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944</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1109</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4. INFORMATION MANAGEMENT AND COMMUNICATION</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4.1 INFORMATION ACCESS, STORAGE AND RETRIEVAL</w:t>
            </w:r>
          </w:p>
        </w:tc>
      </w:tr>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Programme Officer-Information P-2</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91</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96</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Data base operator/Library assistant G-4/G-5</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84</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Clerk G-2/G-3</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60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63</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Library acquisitions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15</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130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4.1</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246</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253</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4.2 COMMUNICATION</w:t>
            </w:r>
          </w:p>
        </w:tc>
      </w:tr>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Programme Officer-Communication P-2 (*1)</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Communication plan and promotion materials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100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105</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lastRenderedPageBreak/>
              <w:t>subtotal 4.2</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100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105</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4.3 CLEARING-HOUSE MECHANISM</w:t>
            </w:r>
          </w:p>
        </w:tc>
      </w:tr>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Programme Officer-Clearing-House P-4</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144</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Secretary G-3/G-4</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74</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Consultants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100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121</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130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4.3</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100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239</w:t>
            </w:r>
          </w:p>
        </w:tc>
      </w:tr>
      <w:tr w:rsidR="00376AE7" w:rsidRPr="00376AE7" w:rsidTr="00B15A6D">
        <w:trPr>
          <w:trHeight w:val="330"/>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5. COMMON COSTS</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5.1 TRAVEL OF STAFF</w:t>
            </w:r>
          </w:p>
        </w:tc>
      </w:tr>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Travel general</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180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190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5.1</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180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190</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5.2 EQUIPMENT</w:t>
            </w:r>
          </w:p>
        </w:tc>
      </w:tr>
      <w:tr w:rsidR="00376AE7" w:rsidRPr="00376AE7" w:rsidTr="00B15A6D">
        <w:trPr>
          <w:tblCellSpacing w:w="15" w:type="dxa"/>
          <w:jc w:val="center"/>
        </w:trPr>
        <w:tc>
          <w:tcPr>
            <w:tcW w:w="130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Equipment, general</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130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150</w:t>
            </w:r>
          </w:p>
        </w:tc>
      </w:tr>
      <w:tr w:rsidR="00376AE7" w:rsidRPr="00376AE7" w:rsidTr="00B15A6D">
        <w:trPr>
          <w:tblCellSpacing w:w="15" w:type="dxa"/>
          <w:jc w:val="center"/>
        </w:trPr>
        <w:tc>
          <w:tcPr>
            <w:tcW w:w="130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5.2</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130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150</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5.3 PREMISES</w:t>
            </w:r>
          </w:p>
        </w:tc>
      </w:tr>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Rent (*5)</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Security services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Building maintenance</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xml:space="preserve">Utilities (gas, electricity, </w:t>
            </w:r>
            <w:proofErr w:type="spellStart"/>
            <w:r w:rsidRPr="00376AE7">
              <w:rPr>
                <w:color w:val="333333"/>
                <w:szCs w:val="22"/>
                <w:lang w:val="en-US"/>
              </w:rPr>
              <w:t>etc</w:t>
            </w:r>
            <w:proofErr w:type="spellEnd"/>
            <w:r w:rsidRPr="00376AE7">
              <w:rPr>
                <w:color w:val="333333"/>
                <w:szCs w:val="22"/>
                <w:lang w:val="en-US"/>
              </w:rPr>
              <w:t>)</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32</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Insurance</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5</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5</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5.3</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35</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37</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5.4 MISCELLANEOUS</w:t>
            </w:r>
          </w:p>
        </w:tc>
      </w:tr>
      <w:tr w:rsidR="00376AE7" w:rsidRPr="00376AE7" w:rsidTr="00B15A6D">
        <w:trPr>
          <w:tblCellSpacing w:w="15" w:type="dxa"/>
          <w:jc w:val="center"/>
        </w:trPr>
        <w:tc>
          <w:tcPr>
            <w:tcW w:w="1305" w:type="pct"/>
            <w:vMerge w:val="restar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Temporary assistance and overtime</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84</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fr-FR"/>
              </w:rPr>
            </w:pPr>
            <w:r w:rsidRPr="00376AE7">
              <w:rPr>
                <w:color w:val="333333"/>
                <w:szCs w:val="22"/>
                <w:lang w:val="fr-FR"/>
              </w:rPr>
              <w:t xml:space="preserve">Communications (phone, fax, e-mail, </w:t>
            </w:r>
            <w:proofErr w:type="spellStart"/>
            <w:r w:rsidRPr="00376AE7">
              <w:rPr>
                <w:color w:val="333333"/>
                <w:szCs w:val="22"/>
                <w:lang w:val="fr-FR"/>
              </w:rPr>
              <w:t>etc</w:t>
            </w:r>
            <w:proofErr w:type="spellEnd"/>
            <w:r w:rsidRPr="00376AE7">
              <w:rPr>
                <w:color w:val="333333"/>
                <w:szCs w:val="22"/>
                <w:lang w:val="fr-FR"/>
              </w:rPr>
              <w:t>)</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170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180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Recruitment costs/travel on interviews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40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Relocation of staff and removal expenses</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Other</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5</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5</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2166"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Hospitality</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20</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20</w:t>
            </w:r>
          </w:p>
        </w:tc>
      </w:tr>
      <w:tr w:rsidR="00376AE7" w:rsidRPr="00376AE7" w:rsidTr="00B15A6D">
        <w:trPr>
          <w:tblCellSpacing w:w="15" w:type="dxa"/>
          <w:jc w:val="center"/>
        </w:trPr>
        <w:tc>
          <w:tcPr>
            <w:tcW w:w="1305" w:type="pct"/>
            <w:vMerge/>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p>
        </w:tc>
        <w:tc>
          <w:tcPr>
            <w:tcW w:w="3634" w:type="pct"/>
            <w:gridSpan w:val="3"/>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subtotal 5.4</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395</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449</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lastRenderedPageBreak/>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1 to 5</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4153</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4707</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6. CONTINGENCIES (2% subtotal 1 to 5)</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83</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84</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subtotal 1 to 6</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4236</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4801</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7. ADMINISTRATIVE SUPPORT CHARGE (13%)</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551</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624</w:t>
            </w:r>
          </w:p>
        </w:tc>
      </w:tr>
      <w:tr w:rsidR="00376AE7" w:rsidRPr="00376AE7" w:rsidTr="00B15A6D">
        <w:trPr>
          <w:tblCellSpacing w:w="15" w:type="dxa"/>
          <w:jc w:val="center"/>
        </w:trPr>
        <w:tc>
          <w:tcPr>
            <w:tcW w:w="4959" w:type="pct"/>
            <w:gridSpan w:val="4"/>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color w:val="333333"/>
                <w:szCs w:val="22"/>
                <w:lang w:val="en-US"/>
              </w:rPr>
              <w:t> </w:t>
            </w:r>
          </w:p>
        </w:tc>
      </w:tr>
      <w:tr w:rsidR="00376AE7" w:rsidRPr="00376AE7" w:rsidTr="00B15A6D">
        <w:trPr>
          <w:tblCellSpacing w:w="15" w:type="dxa"/>
          <w:jc w:val="center"/>
        </w:trPr>
        <w:tc>
          <w:tcPr>
            <w:tcW w:w="3492" w:type="pct"/>
            <w:gridSpan w:val="2"/>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left"/>
              <w:rPr>
                <w:color w:val="333333"/>
                <w:szCs w:val="22"/>
                <w:lang w:val="en-US"/>
              </w:rPr>
            </w:pPr>
            <w:r w:rsidRPr="00376AE7">
              <w:rPr>
                <w:b/>
                <w:bCs/>
                <w:color w:val="333333"/>
                <w:szCs w:val="22"/>
                <w:lang w:val="en-US"/>
              </w:rPr>
              <w:t>SECRETARIAT ADMINISTRATIVE BUDGET TOTAL (1 to 7)</w:t>
            </w:r>
          </w:p>
        </w:tc>
        <w:tc>
          <w:tcPr>
            <w:tcW w:w="671"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b/>
                <w:bCs/>
                <w:color w:val="333333"/>
                <w:szCs w:val="22"/>
                <w:lang w:val="en-US"/>
              </w:rPr>
              <w:t>4787</w:t>
            </w:r>
          </w:p>
        </w:tc>
        <w:tc>
          <w:tcPr>
            <w:tcW w:w="755" w:type="pct"/>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b/>
                <w:bCs/>
                <w:color w:val="333333"/>
                <w:szCs w:val="22"/>
                <w:lang w:val="en-US"/>
              </w:rPr>
              <w:t>5425</w:t>
            </w:r>
          </w:p>
        </w:tc>
      </w:tr>
    </w:tbl>
    <w:p w:rsidR="00376AE7" w:rsidRPr="00376AE7" w:rsidRDefault="00376AE7" w:rsidP="00376AE7">
      <w:pPr>
        <w:jc w:val="left"/>
        <w:rPr>
          <w:szCs w:val="22"/>
          <w:lang w:val="en-US"/>
        </w:rPr>
      </w:pPr>
      <w:r w:rsidRPr="00376AE7">
        <w:rPr>
          <w:color w:val="333333"/>
          <w:szCs w:val="22"/>
          <w:lang w:val="en-US"/>
        </w:rPr>
        <w:br/>
      </w:r>
      <w:r w:rsidRPr="00376AE7">
        <w:rPr>
          <w:color w:val="333333"/>
          <w:szCs w:val="22"/>
          <w:lang w:val="en-US"/>
        </w:rPr>
        <w:br/>
      </w:r>
      <w:r w:rsidRPr="00376AE7">
        <w:rPr>
          <w:color w:val="333333"/>
          <w:szCs w:val="22"/>
          <w:shd w:val="clear" w:color="auto" w:fill="FFFFFF"/>
          <w:lang w:val="en-US"/>
        </w:rPr>
        <w:t>(*1) Expected to be provided by UNEP at an estimated cost of US$ 228,000 in 1995 and US$ 240,000 in 1996. </w:t>
      </w:r>
      <w:r w:rsidRPr="00376AE7">
        <w:rPr>
          <w:color w:val="333333"/>
          <w:szCs w:val="22"/>
          <w:lang w:val="en-US"/>
        </w:rPr>
        <w:br/>
      </w:r>
      <w:r w:rsidRPr="00376AE7">
        <w:rPr>
          <w:color w:val="333333"/>
          <w:szCs w:val="22"/>
          <w:shd w:val="clear" w:color="auto" w:fill="FFFFFF"/>
          <w:lang w:val="en-US"/>
        </w:rPr>
        <w:t>(*2) Expected to be provided by FAO at an estimated cost of US$ 137,000 in 1995 and US$ 144,000 in 1996. </w:t>
      </w:r>
      <w:r w:rsidRPr="00376AE7">
        <w:rPr>
          <w:color w:val="333333"/>
          <w:szCs w:val="22"/>
          <w:lang w:val="en-US"/>
        </w:rPr>
        <w:br/>
      </w:r>
      <w:r w:rsidRPr="00376AE7">
        <w:rPr>
          <w:color w:val="333333"/>
          <w:szCs w:val="22"/>
          <w:shd w:val="clear" w:color="auto" w:fill="FFFFFF"/>
          <w:lang w:val="en-US"/>
        </w:rPr>
        <w:t>(*3) Expected to be provided by UNESCO at an estimated cost of US$ 137,000 in 1995 and US$ 144,000 in 1996. </w:t>
      </w:r>
      <w:r w:rsidRPr="00376AE7">
        <w:rPr>
          <w:color w:val="333333"/>
          <w:szCs w:val="22"/>
          <w:lang w:val="en-US"/>
        </w:rPr>
        <w:br/>
      </w:r>
      <w:r w:rsidRPr="00376AE7">
        <w:rPr>
          <w:color w:val="333333"/>
          <w:szCs w:val="22"/>
          <w:shd w:val="clear" w:color="auto" w:fill="FFFFFF"/>
          <w:lang w:val="en-US"/>
        </w:rPr>
        <w:t>(*4) The number of languages and working groups will be reviewed at COP2. </w:t>
      </w:r>
      <w:r w:rsidRPr="00376AE7">
        <w:rPr>
          <w:color w:val="333333"/>
          <w:szCs w:val="22"/>
          <w:lang w:val="en-US"/>
        </w:rPr>
        <w:br/>
      </w:r>
      <w:r w:rsidRPr="00376AE7">
        <w:rPr>
          <w:color w:val="333333"/>
          <w:szCs w:val="22"/>
          <w:shd w:val="clear" w:color="auto" w:fill="FFFFFF"/>
          <w:lang w:val="en-US"/>
        </w:rPr>
        <w:t>(*5) Paragraph (a) of the Agreement between the Government of Switzerland and the United Nations Environment Programme concerning the Interim Secretariat on Biological Diversity, states that the Government of Switzerland "will provide accommodation for the Interim Secretariat at least twelve months after the first meeting of the contracting parties" (UNEP/CBD/IC/2/20). It is also expected that the host Government will make a similar offer for 1996. </w:t>
      </w:r>
      <w:r w:rsidRPr="00376AE7">
        <w:rPr>
          <w:color w:val="333333"/>
          <w:szCs w:val="22"/>
          <w:lang w:val="en-US"/>
        </w:rPr>
        <w:br/>
      </w:r>
      <w:r w:rsidRPr="00376AE7">
        <w:rPr>
          <w:color w:val="333333"/>
          <w:szCs w:val="22"/>
          <w:lang w:val="en-US"/>
        </w:rPr>
        <w:br/>
      </w:r>
    </w:p>
    <w:p w:rsidR="00376AE7" w:rsidRPr="00376AE7" w:rsidRDefault="00376AE7" w:rsidP="00376AE7">
      <w:pPr>
        <w:shd w:val="clear" w:color="auto" w:fill="FFFFFF"/>
        <w:jc w:val="center"/>
        <w:outlineLvl w:val="2"/>
        <w:rPr>
          <w:b/>
          <w:bCs/>
          <w:color w:val="333333"/>
          <w:szCs w:val="22"/>
          <w:lang w:val="en-US"/>
        </w:rPr>
      </w:pPr>
      <w:r w:rsidRPr="00376AE7">
        <w:rPr>
          <w:b/>
          <w:bCs/>
          <w:color w:val="333333"/>
          <w:szCs w:val="22"/>
          <w:lang w:val="en-US"/>
        </w:rPr>
        <w:t>APPENDIX TO ANNEX II </w:t>
      </w:r>
      <w:r w:rsidRPr="00376AE7">
        <w:rPr>
          <w:b/>
          <w:bCs/>
          <w:color w:val="333333"/>
          <w:szCs w:val="22"/>
          <w:lang w:val="en-US"/>
        </w:rPr>
        <w:br/>
        <w:t>SCALE FOR 1995 CONTRIBUTIONS TO THE TRUST FUND FOR THE CONVENTION ON BIOLOGICAL DIVERSITY</w:t>
      </w:r>
    </w:p>
    <w:tbl>
      <w:tblPr>
        <w:tblW w:w="9712" w:type="dxa"/>
        <w:jc w:val="center"/>
        <w:tblCellSpacing w:w="15" w:type="dxa"/>
        <w:tblCellMar>
          <w:left w:w="0" w:type="dxa"/>
          <w:right w:w="0" w:type="dxa"/>
        </w:tblCellMar>
        <w:tblLook w:val="04A0" w:firstRow="1" w:lastRow="0" w:firstColumn="1" w:lastColumn="0" w:noHBand="0" w:noVBand="1"/>
      </w:tblPr>
      <w:tblGrid>
        <w:gridCol w:w="2865"/>
        <w:gridCol w:w="1980"/>
        <w:gridCol w:w="2910"/>
        <w:gridCol w:w="1957"/>
      </w:tblGrid>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{Private}</w:t>
            </w:r>
          </w:p>
        </w:tc>
        <w:tc>
          <w:tcPr>
            <w:tcW w:w="1950"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color w:val="333333"/>
                <w:szCs w:val="22"/>
                <w:lang w:val="en-US"/>
              </w:rPr>
              <w:t>United Nations scale of assessments 1995*</w:t>
            </w:r>
          </w:p>
        </w:tc>
        <w:tc>
          <w:tcPr>
            <w:tcW w:w="2880"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color w:val="333333"/>
                <w:szCs w:val="22"/>
                <w:lang w:val="en-US"/>
              </w:rPr>
              <w:t>Scale for the Trust Fund with 25percent ceiling and no least developed country Party paying more than 0.01percent</w:t>
            </w:r>
          </w:p>
        </w:tc>
        <w:tc>
          <w:tcPr>
            <w:tcW w:w="1912"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color w:val="333333"/>
                <w:szCs w:val="22"/>
                <w:lang w:val="en-US"/>
              </w:rPr>
              <w:t>Contributions as per 6 December1994</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Parties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(per cent)</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(per cent)</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US$</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Albania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Antigua &amp; Barbuda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Argentina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0.48</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0.75</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36 118</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Armenia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0.08</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0.13</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6 020</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Australia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1.46</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2.29</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109 860</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Austria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0.85</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1.34</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63 959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Bahamas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0.03</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1 505</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Bangladesh</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Barbados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Belarus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0.37</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0.58</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27 841</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Belize</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lastRenderedPageBreak/>
              <w:t>Benin</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Bolivia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Brazil</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1.62</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2.55</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121 899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Burkina Faso</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Cameroon</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Canada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3.07</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4.83</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231 006</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Chad</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Chile</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0.08</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0.13</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6 020</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China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0.72</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1.13</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54 177</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Colombia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0.17</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8 277</w:t>
            </w:r>
          </w:p>
        </w:tc>
      </w:tr>
      <w:tr w:rsidR="00376AE7" w:rsidRPr="00376AE7" w:rsidTr="00B15A6D">
        <w:trPr>
          <w:trHeight w:val="330"/>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Comoros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Cook Islands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Costa Rica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Côte d'Ivoire</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Cuba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0.07</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5 267</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Czech Republic</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0.32</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0.50</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24 079</w:t>
            </w:r>
          </w:p>
        </w:tc>
      </w:tr>
      <w:tr w:rsidR="00376AE7" w:rsidRPr="00376AE7" w:rsidTr="00B15A6D">
        <w:trPr>
          <w:trHeight w:val="600"/>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Democratic People's Republic of Korea</w:t>
            </w:r>
          </w:p>
        </w:tc>
        <w:tc>
          <w:tcPr>
            <w:tcW w:w="1950"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color w:val="333333"/>
                <w:szCs w:val="22"/>
                <w:lang w:val="en-US"/>
              </w:rPr>
              <w:t>0.04</w:t>
            </w:r>
          </w:p>
        </w:tc>
        <w:tc>
          <w:tcPr>
            <w:tcW w:w="2880"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color w:val="333333"/>
                <w:szCs w:val="22"/>
                <w:lang w:val="en-US"/>
              </w:rPr>
              <w:t>0.06</w:t>
            </w:r>
          </w:p>
        </w:tc>
        <w:tc>
          <w:tcPr>
            <w:tcW w:w="1912"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3 010</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Denmark</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0.70</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1.10</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52 672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Djibouti</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Dominica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Ecuador</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0.03</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1 505</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Egypt</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0.07</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5 267</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El Salvador</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Equatorial Guinea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Estonia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0.05</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0.08</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3 762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Ethiopia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European Community</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 </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2.50</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119 675</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Fiji</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Finland</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0.61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0.96</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45 900</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France</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6.32</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9.93</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475 557</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Gambia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Georgia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0.16</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0.25</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12 039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Germany</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8.94</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14.05</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672 703</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Ghana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Greece</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0.37</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0.58</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27 841</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Grenada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Guinea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Guyana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Hungary</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0.15</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0.24</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11 287</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Iceland</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0.03</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0.05</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2 257</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lastRenderedPageBreak/>
              <w:t>India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0.31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0.49</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23 326</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Indonesia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0.14</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0.22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10 534</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Italy</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4.79</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7.53</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360 430</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Japan</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13.95</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21.93</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1 049 687</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Jordan</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Kazakhstan</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0.26</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0.41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19 564</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Kenya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Kiribati</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Luxembourg</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0.07</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5 267</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Malawi</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Malaysia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0.14</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0.22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10 534</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Maldives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Marshall Islands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Mauritius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Mexico</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0.78</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1.23</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58 692</w:t>
            </w:r>
          </w:p>
        </w:tc>
      </w:tr>
      <w:tr w:rsidR="00376AE7" w:rsidRPr="00376AE7" w:rsidTr="00B15A6D">
        <w:trPr>
          <w:trHeight w:val="570"/>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Micronesia (Federated States of)</w:t>
            </w:r>
          </w:p>
        </w:tc>
        <w:tc>
          <w:tcPr>
            <w:tcW w:w="1950"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Monaco</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Mongolia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Myanmar</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Nauru</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Nepal</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Netherlands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1.58</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2.48</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118 889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New Zealand</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0.24</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0.38</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18 059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Nigeria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0.16</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0.25</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12 039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Norway</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0.55</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0.86</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41 386</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Pakistan</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0.06</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0.09</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4 515</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Papua New Guinea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Paraguay</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Peru</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0.06</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0.09</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4 515</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Philippines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0.06</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0.09</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4 515</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Portugal</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0.24</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0.38</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18 059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Republic of Korea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0.80</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1.26</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60 197</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Romania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0.15</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0.24</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11 287</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Saint Kitts and Nevis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Saint Lucia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Samoa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San Marino</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Senegal</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Seychelles</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Slovakia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0.10</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0.16</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7 525</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Spain</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2.24</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3.52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168 552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lastRenderedPageBreak/>
              <w:t>Sri Lanka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Swaziland</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Sweden</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1.22</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1.92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91 801</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Switzerland</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1.21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1.90</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91 048</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Tunisia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0.03</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0.05</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2 257</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Uganda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rHeight w:val="600"/>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United Kingdom of Great Britain and Northern Ireland</w:t>
            </w:r>
          </w:p>
        </w:tc>
        <w:tc>
          <w:tcPr>
            <w:tcW w:w="1950"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color w:val="333333"/>
                <w:szCs w:val="22"/>
                <w:lang w:val="en-US"/>
              </w:rPr>
              <w:t>5.27</w:t>
            </w:r>
          </w:p>
        </w:tc>
        <w:tc>
          <w:tcPr>
            <w:tcW w:w="2880"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center"/>
              <w:rPr>
                <w:color w:val="333333"/>
                <w:szCs w:val="22"/>
                <w:lang w:val="en-US"/>
              </w:rPr>
            </w:pPr>
            <w:r w:rsidRPr="00376AE7">
              <w:rPr>
                <w:color w:val="333333"/>
                <w:szCs w:val="22"/>
                <w:lang w:val="en-US"/>
              </w:rPr>
              <w:t>8.28</w:t>
            </w:r>
          </w:p>
        </w:tc>
        <w:tc>
          <w:tcPr>
            <w:tcW w:w="1912" w:type="dxa"/>
            <w:tcBorders>
              <w:top w:val="outset" w:sz="6" w:space="0" w:color="auto"/>
              <w:left w:val="outset" w:sz="6" w:space="0" w:color="auto"/>
              <w:bottom w:val="outset" w:sz="6" w:space="0" w:color="auto"/>
              <w:right w:val="outset" w:sz="6" w:space="0" w:color="auto"/>
            </w:tcBorders>
            <w:vAlign w:val="center"/>
            <w:hideMark/>
          </w:tcPr>
          <w:p w:rsidR="00376AE7" w:rsidRPr="00376AE7" w:rsidRDefault="00376AE7" w:rsidP="00376AE7">
            <w:pPr>
              <w:jc w:val="right"/>
              <w:rPr>
                <w:color w:val="333333"/>
                <w:szCs w:val="22"/>
                <w:lang w:val="en-US"/>
              </w:rPr>
            </w:pPr>
            <w:r w:rsidRPr="00376AE7">
              <w:rPr>
                <w:color w:val="333333"/>
                <w:szCs w:val="22"/>
                <w:lang w:val="en-US"/>
              </w:rPr>
              <w:t>396 548</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Uruguay</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0.04</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0.06</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3 010</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Vanuatu</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Venezuela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0.40</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0.63</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30 099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Viet Nam</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Zaire</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Zambia</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479</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Zimbabwe</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0.01</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0.02</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752</w:t>
            </w:r>
          </w:p>
        </w:tc>
      </w:tr>
      <w:tr w:rsidR="00376AE7" w:rsidRPr="00376AE7" w:rsidTr="00B15A6D">
        <w:trPr>
          <w:tblCellSpacing w:w="15" w:type="dxa"/>
          <w:jc w:val="center"/>
        </w:trPr>
        <w:tc>
          <w:tcPr>
            <w:tcW w:w="282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left"/>
              <w:rPr>
                <w:color w:val="333333"/>
                <w:szCs w:val="22"/>
                <w:lang w:val="en-US"/>
              </w:rPr>
            </w:pPr>
            <w:r w:rsidRPr="00376AE7">
              <w:rPr>
                <w:color w:val="333333"/>
                <w:szCs w:val="22"/>
                <w:lang w:val="en-US"/>
              </w:rPr>
              <w:t> </w:t>
            </w:r>
          </w:p>
        </w:tc>
        <w:tc>
          <w:tcPr>
            <w:tcW w:w="195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62.10</w:t>
            </w:r>
          </w:p>
        </w:tc>
        <w:tc>
          <w:tcPr>
            <w:tcW w:w="2880"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center"/>
              <w:rPr>
                <w:color w:val="333333"/>
                <w:szCs w:val="22"/>
                <w:lang w:val="en-US"/>
              </w:rPr>
            </w:pPr>
            <w:r w:rsidRPr="00376AE7">
              <w:rPr>
                <w:color w:val="333333"/>
                <w:szCs w:val="22"/>
                <w:lang w:val="en-US"/>
              </w:rPr>
              <w:t>100.00</w:t>
            </w:r>
          </w:p>
        </w:tc>
        <w:tc>
          <w:tcPr>
            <w:tcW w:w="1912" w:type="dxa"/>
            <w:tcBorders>
              <w:top w:val="outset" w:sz="6" w:space="0" w:color="auto"/>
              <w:left w:val="outset" w:sz="6" w:space="0" w:color="auto"/>
              <w:bottom w:val="outset" w:sz="6" w:space="0" w:color="auto"/>
              <w:right w:val="outset" w:sz="6" w:space="0" w:color="auto"/>
            </w:tcBorders>
            <w:hideMark/>
          </w:tcPr>
          <w:p w:rsidR="00376AE7" w:rsidRPr="00376AE7" w:rsidRDefault="00376AE7" w:rsidP="00376AE7">
            <w:pPr>
              <w:jc w:val="right"/>
              <w:rPr>
                <w:color w:val="333333"/>
                <w:szCs w:val="22"/>
                <w:lang w:val="en-US"/>
              </w:rPr>
            </w:pPr>
            <w:r w:rsidRPr="00376AE7">
              <w:rPr>
                <w:color w:val="333333"/>
                <w:szCs w:val="22"/>
                <w:lang w:val="en-US"/>
              </w:rPr>
              <w:t>4 787 000</w:t>
            </w:r>
          </w:p>
        </w:tc>
      </w:tr>
    </w:tbl>
    <w:p w:rsidR="00376AE7" w:rsidRPr="00376AE7" w:rsidRDefault="00376AE7" w:rsidP="00376AE7">
      <w:pPr>
        <w:shd w:val="clear" w:color="auto" w:fill="FFFFFF"/>
        <w:jc w:val="left"/>
        <w:rPr>
          <w:color w:val="333333"/>
          <w:szCs w:val="22"/>
          <w:lang w:val="en-US"/>
        </w:rPr>
      </w:pPr>
      <w:r w:rsidRPr="00376AE7">
        <w:rPr>
          <w:color w:val="333333"/>
          <w:szCs w:val="22"/>
          <w:lang w:val="en-US"/>
        </w:rPr>
        <w:t>* United Nations Report of the Committee on Contributions, Supplement No. 11 (A/49/11).</w:t>
      </w:r>
    </w:p>
    <w:p w:rsidR="007E4938" w:rsidRPr="00376AE7" w:rsidRDefault="007E4938" w:rsidP="0014310E">
      <w:pPr>
        <w:spacing w:before="120" w:after="120"/>
        <w:ind w:firstLine="630"/>
        <w:rPr>
          <w:i/>
          <w:szCs w:val="22"/>
          <w:lang w:val="en-US"/>
        </w:rPr>
      </w:pPr>
    </w:p>
    <w:p w:rsidR="00412B62" w:rsidRPr="00DD1B33" w:rsidRDefault="00412B62" w:rsidP="00412B62">
      <w:pPr>
        <w:jc w:val="center"/>
        <w:rPr>
          <w:szCs w:val="22"/>
          <w:lang w:val="en-US"/>
        </w:rPr>
      </w:pPr>
      <w:r>
        <w:rPr>
          <w:szCs w:val="22"/>
          <w:lang w:val="en-US"/>
        </w:rPr>
        <w:t>__________</w:t>
      </w:r>
    </w:p>
    <w:sectPr w:rsidR="00412B62" w:rsidRPr="00DD1B33" w:rsidSect="006632D3">
      <w:headerReference w:type="even" r:id="rId12"/>
      <w:headerReference w:type="default" r:id="rId13"/>
      <w:type w:val="continuous"/>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AE7" w:rsidRDefault="00376AE7" w:rsidP="00CF1848">
      <w:r>
        <w:separator/>
      </w:r>
    </w:p>
  </w:endnote>
  <w:endnote w:type="continuationSeparator" w:id="0">
    <w:p w:rsidR="00376AE7" w:rsidRDefault="00376AE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AE7" w:rsidRDefault="00376AE7" w:rsidP="00CF1848">
      <w:r>
        <w:separator/>
      </w:r>
    </w:p>
  </w:footnote>
  <w:footnote w:type="continuationSeparator" w:id="0">
    <w:p w:rsidR="00376AE7" w:rsidRDefault="00376AE7"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376AE7" w:rsidRDefault="00376AE7" w:rsidP="00534681">
        <w:pPr>
          <w:pStyle w:val="Header"/>
        </w:pPr>
        <w:r>
          <w:t>UNEP/CBD/COP/DEC/I/6</w:t>
        </w:r>
      </w:p>
    </w:sdtContent>
  </w:sdt>
  <w:p w:rsidR="00376AE7" w:rsidRDefault="00376AE7" w:rsidP="00534681">
    <w:pPr>
      <w:pStyle w:val="Header"/>
    </w:pPr>
    <w:r>
      <w:t xml:space="preserve">Page </w:t>
    </w:r>
    <w:r>
      <w:fldChar w:fldCharType="begin"/>
    </w:r>
    <w:r>
      <w:instrText xml:space="preserve"> PAGE   \* MERGEFORMAT </w:instrText>
    </w:r>
    <w:r>
      <w:fldChar w:fldCharType="separate"/>
    </w:r>
    <w:r w:rsidR="00B15A6D">
      <w:rPr>
        <w:noProof/>
      </w:rPr>
      <w:t>10</w:t>
    </w:r>
    <w:r>
      <w:rPr>
        <w:noProof/>
      </w:rPr>
      <w:fldChar w:fldCharType="end"/>
    </w:r>
  </w:p>
  <w:p w:rsidR="00376AE7" w:rsidRDefault="00376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376AE7" w:rsidRDefault="00376AE7" w:rsidP="009505C9">
        <w:pPr>
          <w:pStyle w:val="Header"/>
          <w:jc w:val="right"/>
        </w:pPr>
        <w:r>
          <w:t>UNEP/CBD/COP/DEC/I/6</w:t>
        </w:r>
      </w:p>
    </w:sdtContent>
  </w:sdt>
  <w:p w:rsidR="00376AE7" w:rsidRDefault="00376AE7" w:rsidP="009505C9">
    <w:pPr>
      <w:pStyle w:val="Header"/>
      <w:jc w:val="right"/>
    </w:pPr>
    <w:r>
      <w:t xml:space="preserve">Page </w:t>
    </w:r>
    <w:r>
      <w:fldChar w:fldCharType="begin"/>
    </w:r>
    <w:r>
      <w:instrText xml:space="preserve"> PAGE   \* MERGEFORMAT </w:instrText>
    </w:r>
    <w:r>
      <w:fldChar w:fldCharType="separate"/>
    </w:r>
    <w:r w:rsidR="00B15A6D">
      <w:rPr>
        <w:noProof/>
      </w:rPr>
      <w:t>9</w:t>
    </w:r>
    <w:r>
      <w:rPr>
        <w:noProof/>
      </w:rPr>
      <w:fldChar w:fldCharType="end"/>
    </w:r>
  </w:p>
  <w:p w:rsidR="00376AE7" w:rsidRDefault="00376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903739"/>
    <w:multiLevelType w:val="multilevel"/>
    <w:tmpl w:val="7F26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1C16DED"/>
    <w:multiLevelType w:val="multilevel"/>
    <w:tmpl w:val="BCA0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64EE6"/>
    <w:multiLevelType w:val="multilevel"/>
    <w:tmpl w:val="27AA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C4A72"/>
    <w:multiLevelType w:val="multilevel"/>
    <w:tmpl w:val="80DE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6B492E"/>
    <w:multiLevelType w:val="multilevel"/>
    <w:tmpl w:val="4322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9"/>
  </w:num>
  <w:num w:numId="5">
    <w:abstractNumId w:val="8"/>
  </w:num>
  <w:num w:numId="6">
    <w:abstractNumId w:val="0"/>
  </w:num>
  <w:num w:numId="7">
    <w:abstractNumId w:val="2"/>
  </w:num>
  <w:num w:numId="8">
    <w:abstractNumId w:val="7"/>
    <w:lvlOverride w:ilvl="0">
      <w:startOverride w:val="1"/>
    </w:lvlOverride>
  </w:num>
  <w:num w:numId="9">
    <w:abstractNumId w:val="10"/>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5"/>
  </w:num>
  <w:num w:numId="15">
    <w:abstractNumId w:val="4"/>
  </w:num>
  <w:num w:numId="16">
    <w:abstractNumId w:val="1"/>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A0AC1"/>
    <w:rsid w:val="000E673A"/>
    <w:rsid w:val="000F74F5"/>
    <w:rsid w:val="00105372"/>
    <w:rsid w:val="00131E7A"/>
    <w:rsid w:val="00136CD8"/>
    <w:rsid w:val="0014310E"/>
    <w:rsid w:val="00172AF6"/>
    <w:rsid w:val="00176CEE"/>
    <w:rsid w:val="001B6DA3"/>
    <w:rsid w:val="001C083C"/>
    <w:rsid w:val="001C0BA1"/>
    <w:rsid w:val="0023054F"/>
    <w:rsid w:val="002B6E20"/>
    <w:rsid w:val="00366122"/>
    <w:rsid w:val="00372F74"/>
    <w:rsid w:val="00376AE7"/>
    <w:rsid w:val="0038723F"/>
    <w:rsid w:val="00387517"/>
    <w:rsid w:val="004107DC"/>
    <w:rsid w:val="00412B62"/>
    <w:rsid w:val="00415390"/>
    <w:rsid w:val="0043560B"/>
    <w:rsid w:val="004644C2"/>
    <w:rsid w:val="00534681"/>
    <w:rsid w:val="00660370"/>
    <w:rsid w:val="006632D3"/>
    <w:rsid w:val="006C2A28"/>
    <w:rsid w:val="00717D88"/>
    <w:rsid w:val="007942D3"/>
    <w:rsid w:val="007B6C09"/>
    <w:rsid w:val="007E09DA"/>
    <w:rsid w:val="007E4938"/>
    <w:rsid w:val="008123BD"/>
    <w:rsid w:val="008178B6"/>
    <w:rsid w:val="00856840"/>
    <w:rsid w:val="009505C9"/>
    <w:rsid w:val="00A22EB8"/>
    <w:rsid w:val="00A64CCA"/>
    <w:rsid w:val="00B124F4"/>
    <w:rsid w:val="00B15A6D"/>
    <w:rsid w:val="00B17CBF"/>
    <w:rsid w:val="00B3369F"/>
    <w:rsid w:val="00B9407F"/>
    <w:rsid w:val="00BC77D2"/>
    <w:rsid w:val="00C17FD0"/>
    <w:rsid w:val="00C9161D"/>
    <w:rsid w:val="00CA69C8"/>
    <w:rsid w:val="00CB5658"/>
    <w:rsid w:val="00CF1848"/>
    <w:rsid w:val="00D76A18"/>
    <w:rsid w:val="00D94340"/>
    <w:rsid w:val="00DA4E53"/>
    <w:rsid w:val="00DD118C"/>
    <w:rsid w:val="00DD1B33"/>
    <w:rsid w:val="00E12238"/>
    <w:rsid w:val="00E629F0"/>
    <w:rsid w:val="00E66235"/>
    <w:rsid w:val="00E83C24"/>
    <w:rsid w:val="00E923F6"/>
    <w:rsid w:val="00EE1719"/>
    <w:rsid w:val="00F7189C"/>
    <w:rsid w:val="00F94774"/>
    <w:rsid w:val="00FC53DB"/>
    <w:rsid w:val="00FE3D4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F0D35AB"/>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7E09DA"/>
    <w:rPr>
      <w:sz w:val="18"/>
      <w:u w:val="single"/>
      <w:vertAlign w:val="baseline"/>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NormalWeb">
    <w:name w:val="Normal (Web)"/>
    <w:basedOn w:val="Normal"/>
    <w:uiPriority w:val="99"/>
    <w:semiHidden/>
    <w:unhideWhenUsed/>
    <w:rsid w:val="00DD1B33"/>
    <w:pPr>
      <w:spacing w:before="100" w:beforeAutospacing="1" w:after="100" w:afterAutospacing="1"/>
      <w:jc w:val="left"/>
    </w:pPr>
    <w:rPr>
      <w:sz w:val="24"/>
      <w:lang w:val="en-US"/>
    </w:rPr>
  </w:style>
  <w:style w:type="paragraph" w:styleId="ListParagraph">
    <w:name w:val="List Paragraph"/>
    <w:basedOn w:val="Normal"/>
    <w:uiPriority w:val="34"/>
    <w:qFormat/>
    <w:rsid w:val="0023054F"/>
    <w:pPr>
      <w:ind w:left="720"/>
      <w:contextualSpacing/>
    </w:pPr>
  </w:style>
  <w:style w:type="numbering" w:customStyle="1" w:styleId="NoList1">
    <w:name w:val="No List1"/>
    <w:next w:val="NoList"/>
    <w:uiPriority w:val="99"/>
    <w:semiHidden/>
    <w:unhideWhenUsed/>
    <w:rsid w:val="00376AE7"/>
  </w:style>
  <w:style w:type="paragraph" w:customStyle="1" w:styleId="msonormal0">
    <w:name w:val="msonormal"/>
    <w:basedOn w:val="Normal"/>
    <w:rsid w:val="00376AE7"/>
    <w:pPr>
      <w:spacing w:before="100" w:beforeAutospacing="1" w:after="100" w:afterAutospacing="1"/>
      <w:jc w:val="left"/>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16586">
      <w:bodyDiv w:val="1"/>
      <w:marLeft w:val="0"/>
      <w:marRight w:val="0"/>
      <w:marTop w:val="0"/>
      <w:marBottom w:val="0"/>
      <w:divBdr>
        <w:top w:val="none" w:sz="0" w:space="0" w:color="auto"/>
        <w:left w:val="none" w:sz="0" w:space="0" w:color="auto"/>
        <w:bottom w:val="none" w:sz="0" w:space="0" w:color="auto"/>
        <w:right w:val="none" w:sz="0" w:space="0" w:color="auto"/>
      </w:divBdr>
    </w:div>
    <w:div w:id="1092705831">
      <w:bodyDiv w:val="1"/>
      <w:marLeft w:val="0"/>
      <w:marRight w:val="0"/>
      <w:marTop w:val="0"/>
      <w:marBottom w:val="0"/>
      <w:divBdr>
        <w:top w:val="none" w:sz="0" w:space="0" w:color="auto"/>
        <w:left w:val="none" w:sz="0" w:space="0" w:color="auto"/>
        <w:bottom w:val="none" w:sz="0" w:space="0" w:color="auto"/>
        <w:right w:val="none" w:sz="0" w:space="0" w:color="auto"/>
      </w:divBdr>
    </w:div>
    <w:div w:id="1200508377">
      <w:bodyDiv w:val="1"/>
      <w:marLeft w:val="0"/>
      <w:marRight w:val="0"/>
      <w:marTop w:val="0"/>
      <w:marBottom w:val="0"/>
      <w:divBdr>
        <w:top w:val="none" w:sz="0" w:space="0" w:color="auto"/>
        <w:left w:val="none" w:sz="0" w:space="0" w:color="auto"/>
        <w:bottom w:val="none" w:sz="0" w:space="0" w:color="auto"/>
        <w:right w:val="none" w:sz="0" w:space="0" w:color="auto"/>
      </w:divBdr>
    </w:div>
    <w:div w:id="1702239937">
      <w:bodyDiv w:val="1"/>
      <w:marLeft w:val="0"/>
      <w:marRight w:val="0"/>
      <w:marTop w:val="0"/>
      <w:marBottom w:val="0"/>
      <w:divBdr>
        <w:top w:val="none" w:sz="0" w:space="0" w:color="auto"/>
        <w:left w:val="none" w:sz="0" w:space="0" w:color="auto"/>
        <w:bottom w:val="none" w:sz="0" w:space="0" w:color="auto"/>
        <w:right w:val="none" w:sz="0" w:space="0" w:color="auto"/>
      </w:divBdr>
    </w:div>
    <w:div w:id="18325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04ED8"/>
    <w:rsid w:val="00500A2B"/>
    <w:rsid w:val="0058288D"/>
    <w:rsid w:val="005E1DAB"/>
    <w:rsid w:val="0061507A"/>
    <w:rsid w:val="00641D75"/>
    <w:rsid w:val="006801B3"/>
    <w:rsid w:val="00810A55"/>
    <w:rsid w:val="008518DD"/>
    <w:rsid w:val="008C6619"/>
    <w:rsid w:val="008D420E"/>
    <w:rsid w:val="009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1D75"/>
    <w:rPr>
      <w:color w:val="808080"/>
    </w:rPr>
  </w:style>
  <w:style w:type="paragraph" w:customStyle="1" w:styleId="33C8955A16064D788A8FBDF550281F4F">
    <w:name w:val="33C8955A16064D788A8FBDF550281F4F"/>
    <w:rsid w:val="00641D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1995-02-28T00:00:00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B1DD6D-9894-4986-A862-AA3610F0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AT ITS FIRST MEETING</vt:lpstr>
    </vt:vector>
  </TitlesOfParts>
  <Company>SCBD</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AT ITS FIRST MEETING</dc:title>
  <dc:subject>UNEP/CBD/COP/DEC/I/6</dc:subject>
  <dc:creator>SCBD</dc:creator>
  <cp:lastModifiedBy>veronique lefebvre</cp:lastModifiedBy>
  <cp:revision>3</cp:revision>
  <dcterms:created xsi:type="dcterms:W3CDTF">2018-02-14T20:46:00Z</dcterms:created>
  <dcterms:modified xsi:type="dcterms:W3CDTF">2018-02-14T20:48:00Z</dcterms:modified>
  <cp:contentStatus>GENERAL</cp:contentStatus>
</cp:coreProperties>
</file>