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6" w:type="dxa"/>
        <w:tblInd w:w="-106" w:type="dxa"/>
        <w:tblLook w:val="0000"/>
      </w:tblPr>
      <w:tblGrid>
        <w:gridCol w:w="834"/>
        <w:gridCol w:w="4398"/>
        <w:gridCol w:w="2181"/>
        <w:gridCol w:w="3253"/>
      </w:tblGrid>
      <w:tr w:rsidR="006E4F84">
        <w:trPr>
          <w:trHeight w:val="844"/>
        </w:trPr>
        <w:tc>
          <w:tcPr>
            <w:tcW w:w="976" w:type="dxa"/>
            <w:tcBorders>
              <w:top w:val="nil"/>
              <w:left w:val="nil"/>
              <w:bottom w:val="single" w:sz="12" w:space="0" w:color="auto"/>
              <w:right w:val="nil"/>
            </w:tcBorders>
          </w:tcPr>
          <w:p w:rsidR="006E4F84" w:rsidRDefault="006E4F84">
            <w:pPr>
              <w:suppressLineNumbers/>
              <w:suppressAutoHyphens/>
              <w:kinsoku w:val="0"/>
              <w:overflowPunct w:val="0"/>
              <w:autoSpaceDE w:val="0"/>
              <w:autoSpaceDN w:val="0"/>
              <w:snapToGrid w:val="0"/>
              <w:rPr>
                <w:rFonts w:cs="Times New Roman"/>
                <w:kern w:val="22"/>
              </w:rPr>
            </w:pPr>
            <w:bookmarkStart w:id="0" w:name="_Hlk505247837"/>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Macintosh HD:Users:bilodeau:Desktop:logos:template 2017:un.emf" style="position:absolute;margin-left:.05pt;margin-top:0;width:37.5pt;height:31.7pt;z-index:251658240;visibility:visible;mso-position-vertical-relative:page">
                  <v:imagedata r:id="rId7" o:title=""/>
                  <w10:wrap anchory="page"/>
                </v:shape>
              </w:pict>
            </w:r>
          </w:p>
        </w:tc>
        <w:tc>
          <w:tcPr>
            <w:tcW w:w="5981" w:type="dxa"/>
            <w:gridSpan w:val="2"/>
            <w:tcBorders>
              <w:top w:val="nil"/>
              <w:left w:val="nil"/>
              <w:bottom w:val="single" w:sz="12" w:space="0" w:color="auto"/>
              <w:right w:val="nil"/>
            </w:tcBorders>
            <w:tcFitText/>
          </w:tcPr>
          <w:p w:rsidR="006E4F84" w:rsidRDefault="006E4F84">
            <w:pPr>
              <w:suppressLineNumbers/>
              <w:suppressAutoHyphens/>
              <w:kinsoku w:val="0"/>
              <w:overflowPunct w:val="0"/>
              <w:autoSpaceDE w:val="0"/>
              <w:autoSpaceDN w:val="0"/>
              <w:snapToGrid w:val="0"/>
              <w:rPr>
                <w:rFonts w:cs="Times New Roman"/>
                <w:kern w:val="22"/>
              </w:rPr>
            </w:pPr>
            <w:r>
              <w:rPr>
                <w:rFonts w:cs="Times New Roman"/>
                <w:noProof/>
                <w:lang w:eastAsia="es-ES"/>
              </w:rPr>
              <w:pict>
                <v:shape id="Picture 5" o:spid="_x0000_i1025" type="#_x0000_t75" style="width:45.75pt;height:25.5pt;visibility:visible">
                  <v:imagedata r:id="rId8" o:title=""/>
                </v:shape>
              </w:pict>
            </w:r>
          </w:p>
        </w:tc>
        <w:tc>
          <w:tcPr>
            <w:tcW w:w="3709" w:type="dxa"/>
            <w:tcBorders>
              <w:top w:val="nil"/>
              <w:left w:val="nil"/>
              <w:bottom w:val="single" w:sz="12" w:space="0" w:color="auto"/>
              <w:right w:val="nil"/>
            </w:tcBorders>
          </w:tcPr>
          <w:p w:rsidR="006E4F84" w:rsidRDefault="006E4F84">
            <w:pPr>
              <w:suppressLineNumbers/>
              <w:suppressAutoHyphens/>
              <w:kinsoku w:val="0"/>
              <w:overflowPunct w:val="0"/>
              <w:autoSpaceDE w:val="0"/>
              <w:autoSpaceDN w:val="0"/>
              <w:snapToGrid w:val="0"/>
              <w:jc w:val="right"/>
              <w:rPr>
                <w:rFonts w:ascii="Arial" w:hAnsi="Arial" w:cs="Arial"/>
                <w:b/>
                <w:bCs/>
                <w:kern w:val="22"/>
                <w:sz w:val="32"/>
                <w:szCs w:val="32"/>
              </w:rPr>
            </w:pPr>
            <w:r>
              <w:rPr>
                <w:rFonts w:ascii="Arial" w:hAnsi="Arial" w:cs="Arial"/>
                <w:b/>
                <w:bCs/>
                <w:sz w:val="32"/>
                <w:szCs w:val="32"/>
              </w:rPr>
              <w:t>CBD</w:t>
            </w:r>
          </w:p>
        </w:tc>
      </w:tr>
      <w:bookmarkEnd w:id="0"/>
      <w:tr w:rsidR="006E4F84">
        <w:tc>
          <w:tcPr>
            <w:tcW w:w="4776" w:type="dxa"/>
            <w:gridSpan w:val="2"/>
            <w:tcBorders>
              <w:top w:val="single" w:sz="12" w:space="0" w:color="auto"/>
              <w:left w:val="nil"/>
              <w:bottom w:val="single" w:sz="36" w:space="0" w:color="auto"/>
              <w:right w:val="nil"/>
            </w:tcBorders>
            <w:vAlign w:val="center"/>
          </w:tcPr>
          <w:p w:rsidR="006E4F84" w:rsidRDefault="006E4F84">
            <w:pPr>
              <w:suppressLineNumbers/>
              <w:suppressAutoHyphens/>
              <w:kinsoku w:val="0"/>
              <w:overflowPunct w:val="0"/>
              <w:autoSpaceDE w:val="0"/>
              <w:autoSpaceDN w:val="0"/>
              <w:snapToGrid w:val="0"/>
              <w:rPr>
                <w:rFonts w:cs="Times New Roman"/>
                <w:snapToGrid w:val="0"/>
                <w:kern w:val="22"/>
                <w:sz w:val="22"/>
                <w:szCs w:val="22"/>
              </w:rPr>
            </w:pPr>
            <w:r>
              <w:rPr>
                <w:rFonts w:cs="Times New Roman"/>
                <w:noProof/>
                <w:kern w:val="22"/>
                <w:sz w:val="22"/>
                <w:szCs w:val="22"/>
                <w:lang w:eastAsia="es-ES"/>
              </w:rPr>
              <w:pict>
                <v:shape id="Imagen 1" o:spid="_x0000_i1026" type="#_x0000_t75" style="width:228.75pt;height:84pt;visibility:visible">
                  <v:imagedata r:id="rId9" o:title=""/>
                </v:shape>
              </w:pict>
            </w:r>
          </w:p>
        </w:tc>
        <w:tc>
          <w:tcPr>
            <w:tcW w:w="5890" w:type="dxa"/>
            <w:gridSpan w:val="2"/>
            <w:tcBorders>
              <w:top w:val="single" w:sz="12" w:space="0" w:color="auto"/>
              <w:left w:val="nil"/>
              <w:bottom w:val="single" w:sz="36" w:space="0" w:color="auto"/>
              <w:right w:val="nil"/>
            </w:tcBorders>
          </w:tcPr>
          <w:p w:rsidR="006E4F84" w:rsidRDefault="006E4F84">
            <w:pPr>
              <w:suppressLineNumbers/>
              <w:suppressAutoHyphens/>
              <w:kinsoku w:val="0"/>
              <w:overflowPunct w:val="0"/>
              <w:autoSpaceDE w:val="0"/>
              <w:autoSpaceDN w:val="0"/>
              <w:snapToGrid w:val="0"/>
              <w:ind w:left="2103"/>
              <w:rPr>
                <w:rFonts w:cs="Times New Roman"/>
                <w:snapToGrid w:val="0"/>
                <w:kern w:val="22"/>
                <w:sz w:val="22"/>
                <w:szCs w:val="22"/>
              </w:rPr>
            </w:pPr>
            <w:r>
              <w:rPr>
                <w:rFonts w:cs="Times New Roman"/>
                <w:snapToGrid w:val="0"/>
                <w:sz w:val="22"/>
                <w:szCs w:val="22"/>
              </w:rPr>
              <w:t>Distr.</w:t>
            </w:r>
          </w:p>
          <w:p w:rsidR="006E4F84" w:rsidRDefault="006E4F84">
            <w:pPr>
              <w:suppressLineNumbers/>
              <w:suppressAutoHyphens/>
              <w:kinsoku w:val="0"/>
              <w:overflowPunct w:val="0"/>
              <w:autoSpaceDE w:val="0"/>
              <w:autoSpaceDN w:val="0"/>
              <w:snapToGrid w:val="0"/>
              <w:ind w:left="2103"/>
              <w:rPr>
                <w:rFonts w:cs="Times New Roman"/>
                <w:snapToGrid w:val="0"/>
                <w:kern w:val="22"/>
                <w:sz w:val="22"/>
                <w:szCs w:val="22"/>
              </w:rPr>
            </w:pPr>
            <w:r>
              <w:rPr>
                <w:rFonts w:cs="Times New Roman"/>
                <w:snapToGrid w:val="0"/>
                <w:kern w:val="22"/>
                <w:sz w:val="22"/>
                <w:szCs w:val="22"/>
              </w:rPr>
              <w:t>GENERAL</w:t>
            </w:r>
          </w:p>
          <w:p w:rsidR="006E4F84" w:rsidRDefault="006E4F84">
            <w:pPr>
              <w:suppressLineNumbers/>
              <w:suppressAutoHyphens/>
              <w:kinsoku w:val="0"/>
              <w:overflowPunct w:val="0"/>
              <w:autoSpaceDE w:val="0"/>
              <w:autoSpaceDN w:val="0"/>
              <w:snapToGrid w:val="0"/>
              <w:ind w:left="2103"/>
              <w:rPr>
                <w:rFonts w:cs="Times New Roman"/>
                <w:snapToGrid w:val="0"/>
                <w:kern w:val="22"/>
                <w:sz w:val="22"/>
                <w:szCs w:val="22"/>
              </w:rPr>
            </w:pPr>
          </w:p>
          <w:p w:rsidR="006E4F84" w:rsidRDefault="006E4F84">
            <w:pPr>
              <w:suppressLineNumbers/>
              <w:suppressAutoHyphens/>
              <w:kinsoku w:val="0"/>
              <w:overflowPunct w:val="0"/>
              <w:autoSpaceDE w:val="0"/>
              <w:autoSpaceDN w:val="0"/>
              <w:snapToGrid w:val="0"/>
              <w:ind w:left="2103"/>
              <w:rPr>
                <w:rFonts w:cs="Times New Roman"/>
                <w:snapToGrid w:val="0"/>
                <w:kern w:val="22"/>
                <w:sz w:val="22"/>
                <w:szCs w:val="22"/>
              </w:rPr>
            </w:pPr>
            <w:r>
              <w:rPr>
                <w:rFonts w:cs="Times New Roman"/>
                <w:snapToGrid w:val="0"/>
                <w:kern w:val="22"/>
                <w:sz w:val="22"/>
                <w:szCs w:val="22"/>
                <w:lang w:val="en-GB"/>
              </w:rPr>
              <w:t>CBD/DEC/EM/2/1</w:t>
            </w:r>
          </w:p>
          <w:p w:rsidR="006E4F84" w:rsidRDefault="006E4F84">
            <w:pPr>
              <w:suppressLineNumbers/>
              <w:suppressAutoHyphens/>
              <w:kinsoku w:val="0"/>
              <w:overflowPunct w:val="0"/>
              <w:autoSpaceDE w:val="0"/>
              <w:autoSpaceDN w:val="0"/>
              <w:snapToGrid w:val="0"/>
              <w:ind w:left="2103"/>
              <w:rPr>
                <w:rFonts w:cs="Times New Roman"/>
                <w:snapToGrid w:val="0"/>
                <w:kern w:val="22"/>
                <w:sz w:val="22"/>
                <w:szCs w:val="22"/>
              </w:rPr>
            </w:pPr>
            <w:r>
              <w:rPr>
                <w:rFonts w:cs="Times New Roman"/>
                <w:snapToGrid w:val="0"/>
                <w:sz w:val="22"/>
                <w:szCs w:val="22"/>
              </w:rPr>
              <w:t>27 de noviembre de 2020</w:t>
            </w:r>
          </w:p>
          <w:p w:rsidR="006E4F84" w:rsidRDefault="006E4F84">
            <w:pPr>
              <w:suppressLineNumbers/>
              <w:suppressAutoHyphens/>
              <w:kinsoku w:val="0"/>
              <w:overflowPunct w:val="0"/>
              <w:autoSpaceDE w:val="0"/>
              <w:autoSpaceDN w:val="0"/>
              <w:snapToGrid w:val="0"/>
              <w:ind w:left="2103"/>
              <w:rPr>
                <w:rFonts w:cs="Times New Roman"/>
                <w:snapToGrid w:val="0"/>
                <w:kern w:val="22"/>
                <w:sz w:val="22"/>
                <w:szCs w:val="22"/>
              </w:rPr>
            </w:pPr>
          </w:p>
          <w:p w:rsidR="006E4F84" w:rsidRDefault="006E4F84">
            <w:pPr>
              <w:suppressLineNumbers/>
              <w:suppressAutoHyphens/>
              <w:kinsoku w:val="0"/>
              <w:overflowPunct w:val="0"/>
              <w:autoSpaceDE w:val="0"/>
              <w:autoSpaceDN w:val="0"/>
              <w:snapToGrid w:val="0"/>
              <w:ind w:left="2103"/>
              <w:rPr>
                <w:rFonts w:cs="Times New Roman"/>
                <w:snapToGrid w:val="0"/>
                <w:sz w:val="22"/>
                <w:szCs w:val="22"/>
              </w:rPr>
            </w:pPr>
            <w:r>
              <w:rPr>
                <w:rFonts w:cs="Times New Roman"/>
                <w:snapToGrid w:val="0"/>
                <w:sz w:val="22"/>
                <w:szCs w:val="22"/>
              </w:rPr>
              <w:t>ESPAÑOL</w:t>
            </w:r>
          </w:p>
          <w:p w:rsidR="006E4F84" w:rsidRDefault="006E4F84">
            <w:pPr>
              <w:suppressLineNumbers/>
              <w:suppressAutoHyphens/>
              <w:kinsoku w:val="0"/>
              <w:overflowPunct w:val="0"/>
              <w:autoSpaceDE w:val="0"/>
              <w:autoSpaceDN w:val="0"/>
              <w:snapToGrid w:val="0"/>
              <w:ind w:left="2103"/>
              <w:rPr>
                <w:rFonts w:cs="Times New Roman"/>
                <w:snapToGrid w:val="0"/>
                <w:kern w:val="22"/>
                <w:sz w:val="22"/>
                <w:szCs w:val="22"/>
              </w:rPr>
            </w:pPr>
            <w:r>
              <w:rPr>
                <w:rFonts w:cs="Times New Roman"/>
                <w:snapToGrid w:val="0"/>
                <w:sz w:val="22"/>
                <w:szCs w:val="22"/>
              </w:rPr>
              <w:t>ORIGINAL: INGLÉS</w:t>
            </w:r>
          </w:p>
          <w:p w:rsidR="006E4F84" w:rsidRDefault="006E4F84">
            <w:pPr>
              <w:suppressLineNumbers/>
              <w:suppressAutoHyphens/>
              <w:kinsoku w:val="0"/>
              <w:overflowPunct w:val="0"/>
              <w:autoSpaceDE w:val="0"/>
              <w:autoSpaceDN w:val="0"/>
              <w:snapToGrid w:val="0"/>
              <w:ind w:left="1215"/>
              <w:rPr>
                <w:rFonts w:cs="Times New Roman"/>
                <w:snapToGrid w:val="0"/>
                <w:kern w:val="22"/>
                <w:sz w:val="22"/>
                <w:szCs w:val="22"/>
              </w:rPr>
            </w:pPr>
          </w:p>
        </w:tc>
      </w:tr>
    </w:tbl>
    <w:p w:rsidR="006E4F84" w:rsidRDefault="006E4F84">
      <w:pPr>
        <w:keepNext/>
        <w:suppressLineNumbers/>
        <w:suppressAutoHyphens/>
        <w:kinsoku w:val="0"/>
        <w:overflowPunct w:val="0"/>
        <w:autoSpaceDE w:val="0"/>
        <w:autoSpaceDN w:val="0"/>
        <w:snapToGrid w:val="0"/>
        <w:ind w:left="142" w:right="4642" w:hanging="142"/>
        <w:outlineLvl w:val="8"/>
        <w:rPr>
          <w:rFonts w:cs="Times New Roman"/>
          <w:kern w:val="22"/>
          <w:sz w:val="22"/>
          <w:szCs w:val="22"/>
        </w:rPr>
      </w:pPr>
      <w:r>
        <w:rPr>
          <w:rFonts w:cs="Times New Roman"/>
          <w:sz w:val="22"/>
          <w:szCs w:val="22"/>
        </w:rPr>
        <w:t>CONFERENCIA DE LAS PARTES EN EL CONVENIO SOBRE LA DIVERSIDAD BIOLÓGICA</w:t>
      </w:r>
    </w:p>
    <w:p w:rsidR="006E4F84" w:rsidRDefault="006E4F84">
      <w:pPr>
        <w:keepNext/>
        <w:suppressLineNumbers/>
        <w:suppressAutoHyphens/>
        <w:kinsoku w:val="0"/>
        <w:overflowPunct w:val="0"/>
        <w:autoSpaceDE w:val="0"/>
        <w:autoSpaceDN w:val="0"/>
        <w:snapToGrid w:val="0"/>
        <w:ind w:left="142" w:right="4642" w:hanging="142"/>
        <w:outlineLvl w:val="8"/>
        <w:rPr>
          <w:rFonts w:cs="Times New Roman"/>
          <w:kern w:val="22"/>
          <w:sz w:val="22"/>
          <w:szCs w:val="22"/>
        </w:rPr>
      </w:pPr>
      <w:r>
        <w:rPr>
          <w:rFonts w:cs="Times New Roman"/>
          <w:sz w:val="22"/>
          <w:szCs w:val="22"/>
        </w:rPr>
        <w:t>Segunda reunión extraordinaria</w:t>
      </w:r>
    </w:p>
    <w:p w:rsidR="006E4F84" w:rsidRDefault="006E4F84">
      <w:pPr>
        <w:keepNext/>
        <w:suppressLineNumbers/>
        <w:suppressAutoHyphens/>
        <w:kinsoku w:val="0"/>
        <w:overflowPunct w:val="0"/>
        <w:autoSpaceDE w:val="0"/>
        <w:autoSpaceDN w:val="0"/>
        <w:snapToGrid w:val="0"/>
        <w:ind w:left="142" w:right="4642" w:hanging="142"/>
        <w:outlineLvl w:val="8"/>
        <w:rPr>
          <w:rFonts w:cs="Times New Roman"/>
          <w:kern w:val="22"/>
          <w:sz w:val="22"/>
          <w:szCs w:val="22"/>
        </w:rPr>
      </w:pPr>
      <w:r>
        <w:rPr>
          <w:rFonts w:cs="Times New Roman"/>
          <w:sz w:val="22"/>
          <w:szCs w:val="22"/>
        </w:rPr>
        <w:t>Montreal (en línea), 16 a 19 de noviembre de 2020 y</w:t>
      </w:r>
    </w:p>
    <w:p w:rsidR="006E4F84" w:rsidRDefault="006E4F84">
      <w:pPr>
        <w:keepNext/>
        <w:suppressLineNumbers/>
        <w:suppressAutoHyphens/>
        <w:kinsoku w:val="0"/>
        <w:overflowPunct w:val="0"/>
        <w:autoSpaceDE w:val="0"/>
        <w:autoSpaceDN w:val="0"/>
        <w:snapToGrid w:val="0"/>
        <w:ind w:left="142" w:right="4642" w:hanging="142"/>
        <w:outlineLvl w:val="8"/>
        <w:rPr>
          <w:rFonts w:cs="Times New Roman"/>
          <w:kern w:val="22"/>
          <w:sz w:val="22"/>
          <w:szCs w:val="22"/>
        </w:rPr>
      </w:pPr>
      <w:r>
        <w:rPr>
          <w:rFonts w:cs="Times New Roman"/>
          <w:sz w:val="22"/>
          <w:szCs w:val="22"/>
        </w:rPr>
        <w:t>25 a 27 de noviembre de 2020 (continuación del período de sesiones)</w:t>
      </w:r>
    </w:p>
    <w:p w:rsidR="006E4F84" w:rsidRDefault="006E4F84">
      <w:pPr>
        <w:suppressLineNumbers/>
        <w:suppressAutoHyphens/>
        <w:kinsoku w:val="0"/>
        <w:overflowPunct w:val="0"/>
        <w:autoSpaceDE w:val="0"/>
        <w:autoSpaceDN w:val="0"/>
        <w:snapToGrid w:val="0"/>
        <w:spacing w:before="240" w:after="160"/>
        <w:jc w:val="center"/>
        <w:rPr>
          <w:rFonts w:cs="Times New Roman"/>
          <w:b/>
          <w:bCs/>
          <w:caps/>
          <w:sz w:val="22"/>
          <w:szCs w:val="22"/>
        </w:rPr>
      </w:pPr>
      <w:r>
        <w:rPr>
          <w:rFonts w:cs="Times New Roman"/>
          <w:b/>
          <w:bCs/>
          <w:caps/>
          <w:sz w:val="22"/>
          <w:szCs w:val="22"/>
        </w:rPr>
        <w:t>DECISIÓN ADOPTADA POR LA CONFERENCIA DE LAS PARTES EN EL CONVENIO SOBRE LA DIVERSIDAD BIOLÓGICA EN SU SEGUNDA REUNIÓN EXTRAORDINARIA</w:t>
      </w:r>
    </w:p>
    <w:p w:rsidR="006E4F84" w:rsidRDefault="006E4F84">
      <w:pPr>
        <w:suppressLineNumbers/>
        <w:suppressAutoHyphens/>
        <w:kinsoku w:val="0"/>
        <w:overflowPunct w:val="0"/>
        <w:autoSpaceDE w:val="0"/>
        <w:autoSpaceDN w:val="0"/>
        <w:snapToGrid w:val="0"/>
        <w:spacing w:before="240" w:after="160"/>
        <w:jc w:val="center"/>
        <w:rPr>
          <w:rFonts w:cs="Times New Roman"/>
          <w:b/>
          <w:bCs/>
          <w:sz w:val="22"/>
          <w:szCs w:val="22"/>
        </w:rPr>
      </w:pPr>
      <w:r>
        <w:rPr>
          <w:rFonts w:cs="Times New Roman"/>
          <w:b/>
          <w:bCs/>
          <w:sz w:val="22"/>
          <w:szCs w:val="22"/>
        </w:rPr>
        <w:t>EM-2/1.</w:t>
      </w:r>
      <w:r>
        <w:rPr>
          <w:rFonts w:cs="Times New Roman"/>
          <w:b/>
          <w:bCs/>
          <w:sz w:val="22"/>
          <w:szCs w:val="22"/>
        </w:rPr>
        <w:tab/>
        <w:t>Presupuesto provisional para el programa de trabajo del Convenio sobre la Diversidad Biológica para el año 2021</w:t>
      </w:r>
    </w:p>
    <w:p w:rsidR="006E4F84" w:rsidRDefault="006E4F84">
      <w:pPr>
        <w:pStyle w:val="Heading2longmultiline"/>
        <w:suppressLineNumbers/>
        <w:suppressAutoHyphens/>
        <w:kinsoku w:val="0"/>
        <w:overflowPunct w:val="0"/>
        <w:autoSpaceDE w:val="0"/>
        <w:autoSpaceDN w:val="0"/>
        <w:ind w:left="0" w:firstLine="720"/>
        <w:jc w:val="both"/>
        <w:rPr>
          <w:b w:val="0"/>
          <w:bCs w:val="0"/>
          <w:kern w:val="22"/>
        </w:rPr>
      </w:pPr>
      <w:bookmarkStart w:id="1" w:name="_Toc57972492"/>
      <w:r>
        <w:rPr>
          <w:b w:val="0"/>
          <w:bCs w:val="0"/>
        </w:rPr>
        <w:t>La Conferencia de las Partes,</w:t>
      </w:r>
      <w:bookmarkEnd w:id="1"/>
    </w:p>
    <w:p w:rsidR="006E4F84" w:rsidRDefault="006E4F84">
      <w:pPr>
        <w:suppressLineNumbers/>
        <w:suppressAutoHyphens/>
        <w:kinsoku w:val="0"/>
        <w:overflowPunct w:val="0"/>
        <w:autoSpaceDE w:val="0"/>
        <w:autoSpaceDN w:val="0"/>
        <w:spacing w:before="120" w:after="120"/>
        <w:ind w:firstLine="720"/>
        <w:jc w:val="both"/>
        <w:rPr>
          <w:rFonts w:cs="Times New Roman"/>
          <w:kern w:val="22"/>
          <w:sz w:val="22"/>
          <w:szCs w:val="22"/>
        </w:rPr>
      </w:pPr>
      <w:r>
        <w:rPr>
          <w:rFonts w:cs="Times New Roman"/>
          <w:i/>
          <w:iCs/>
          <w:sz w:val="22"/>
          <w:szCs w:val="22"/>
        </w:rPr>
        <w:t>Recordando</w:t>
      </w:r>
      <w:r>
        <w:rPr>
          <w:rFonts w:cs="Times New Roman"/>
          <w:sz w:val="22"/>
          <w:szCs w:val="22"/>
        </w:rPr>
        <w:t xml:space="preserve"> su decisión </w:t>
      </w:r>
      <w:hyperlink r:id="rId10" w:history="1">
        <w:r>
          <w:rPr>
            <w:rStyle w:val="Hyperlink"/>
            <w:rFonts w:cs="Times New Roman"/>
            <w:sz w:val="22"/>
            <w:szCs w:val="22"/>
          </w:rPr>
          <w:t>14/37</w:t>
        </w:r>
      </w:hyperlink>
      <w:r>
        <w:rPr>
          <w:rFonts w:cs="Times New Roman"/>
          <w:sz w:val="22"/>
          <w:szCs w:val="22"/>
        </w:rPr>
        <w:t>, en la que aprobó el presupuesto para el bienio 2019-2020 y pidió a la Secretaria Ejecutiva que elaborara propuestas para el presupuesto para el bienio 2021-2022,</w:t>
      </w:r>
    </w:p>
    <w:p w:rsidR="006E4F84" w:rsidRDefault="006E4F84">
      <w:pPr>
        <w:suppressLineNumbers/>
        <w:suppressAutoHyphens/>
        <w:kinsoku w:val="0"/>
        <w:overflowPunct w:val="0"/>
        <w:autoSpaceDE w:val="0"/>
        <w:autoSpaceDN w:val="0"/>
        <w:spacing w:before="120" w:after="120"/>
        <w:ind w:firstLine="720"/>
        <w:jc w:val="both"/>
        <w:rPr>
          <w:rFonts w:cs="Times New Roman"/>
          <w:kern w:val="22"/>
          <w:sz w:val="22"/>
          <w:szCs w:val="22"/>
        </w:rPr>
      </w:pPr>
      <w:r>
        <w:rPr>
          <w:rFonts w:cs="Times New Roman"/>
          <w:i/>
          <w:iCs/>
          <w:sz w:val="22"/>
          <w:szCs w:val="22"/>
        </w:rPr>
        <w:t>Teniendo en cuenta</w:t>
      </w:r>
      <w:r>
        <w:rPr>
          <w:rFonts w:cs="Times New Roman"/>
          <w:sz w:val="22"/>
          <w:szCs w:val="22"/>
        </w:rPr>
        <w:t xml:space="preserve"> que la 15ª reunión de la Conferencia de las Partes se ha aplazado hasta 2021 debido a las limitaciones derivadas de la pandemia de enfermedad por coronavirus (COVID-19),</w:t>
      </w:r>
    </w:p>
    <w:p w:rsidR="006E4F84" w:rsidRDefault="006E4F84">
      <w:pPr>
        <w:suppressLineNumbers/>
        <w:suppressAutoHyphens/>
        <w:kinsoku w:val="0"/>
        <w:overflowPunct w:val="0"/>
        <w:autoSpaceDE w:val="0"/>
        <w:autoSpaceDN w:val="0"/>
        <w:spacing w:before="120" w:after="120"/>
        <w:ind w:firstLine="720"/>
        <w:jc w:val="both"/>
        <w:rPr>
          <w:rFonts w:cs="Times New Roman"/>
          <w:kern w:val="22"/>
          <w:sz w:val="22"/>
          <w:szCs w:val="22"/>
        </w:rPr>
      </w:pPr>
      <w:r>
        <w:rPr>
          <w:rFonts w:cs="Times New Roman"/>
          <w:i/>
          <w:iCs/>
          <w:sz w:val="22"/>
          <w:szCs w:val="22"/>
        </w:rPr>
        <w:t xml:space="preserve">Observando </w:t>
      </w:r>
      <w:r>
        <w:rPr>
          <w:rFonts w:cs="Times New Roman"/>
          <w:sz w:val="22"/>
          <w:szCs w:val="22"/>
        </w:rPr>
        <w:t>que es necesario, por consiguiente, tomar medidas para permitir el funcionamiento continuo de los órganos y procesos del Convenio, incluida su Secretaría y las reuniones de la Conferencia de las Partes y sus órganos subsidiarios,</w:t>
      </w:r>
    </w:p>
    <w:p w:rsidR="006E4F84" w:rsidRDefault="006E4F84">
      <w:pPr>
        <w:suppressLineNumbers/>
        <w:suppressAutoHyphens/>
        <w:kinsoku w:val="0"/>
        <w:overflowPunct w:val="0"/>
        <w:autoSpaceDE w:val="0"/>
        <w:autoSpaceDN w:val="0"/>
        <w:spacing w:before="120" w:after="120"/>
        <w:ind w:firstLine="720"/>
        <w:jc w:val="both"/>
        <w:rPr>
          <w:rFonts w:eastAsia="Malgun Gothic" w:cs="Times New Roman"/>
          <w:kern w:val="22"/>
          <w:sz w:val="22"/>
          <w:szCs w:val="22"/>
        </w:rPr>
      </w:pPr>
      <w:r>
        <w:rPr>
          <w:rFonts w:cs="Times New Roman"/>
          <w:i/>
          <w:iCs/>
          <w:sz w:val="22"/>
          <w:szCs w:val="22"/>
        </w:rPr>
        <w:t>Tomando nota</w:t>
      </w:r>
      <w:r>
        <w:rPr>
          <w:rFonts w:cs="Times New Roman"/>
          <w:sz w:val="22"/>
          <w:szCs w:val="22"/>
        </w:rPr>
        <w:t xml:space="preserve"> de la propuesta de la Mesa de la Conferencia de las Partes de que, con carácter excepcional, las Partes examinen y aprueben un presupuesto provisional para 2021 mediante modalidades convenidas,</w:t>
      </w:r>
    </w:p>
    <w:p w:rsidR="006E4F84" w:rsidRDefault="006E4F84">
      <w:pPr>
        <w:suppressLineNumbers/>
        <w:suppressAutoHyphens/>
        <w:kinsoku w:val="0"/>
        <w:overflowPunct w:val="0"/>
        <w:autoSpaceDE w:val="0"/>
        <w:autoSpaceDN w:val="0"/>
        <w:spacing w:before="120" w:after="120"/>
        <w:ind w:firstLine="720"/>
        <w:jc w:val="both"/>
        <w:rPr>
          <w:rFonts w:eastAsia="Malgun Gothic" w:cs="Times New Roman"/>
          <w:color w:val="000000"/>
          <w:kern w:val="22"/>
          <w:sz w:val="22"/>
          <w:szCs w:val="22"/>
        </w:rPr>
      </w:pPr>
      <w:bookmarkStart w:id="2" w:name="_Hlk55292129"/>
      <w:r>
        <w:rPr>
          <w:rFonts w:cs="Times New Roman"/>
          <w:i/>
          <w:iCs/>
          <w:color w:val="000000"/>
          <w:sz w:val="22"/>
          <w:szCs w:val="22"/>
        </w:rPr>
        <w:t>Recordando</w:t>
      </w:r>
      <w:r>
        <w:rPr>
          <w:rFonts w:cs="Times New Roman"/>
          <w:color w:val="000000"/>
          <w:sz w:val="22"/>
          <w:szCs w:val="22"/>
        </w:rPr>
        <w:t xml:space="preserve"> su decisión 14/37, cuadro 1b, en la que se incluyeron dos (2) </w:t>
      </w:r>
      <w:r>
        <w:rPr>
          <w:rFonts w:cs="Times New Roman"/>
          <w:sz w:val="22"/>
          <w:szCs w:val="22"/>
        </w:rPr>
        <w:t>reuniones</w:t>
      </w:r>
      <w:r>
        <w:rPr>
          <w:rFonts w:cs="Times New Roman"/>
          <w:color w:val="000000"/>
          <w:sz w:val="22"/>
          <w:szCs w:val="22"/>
        </w:rPr>
        <w:t>del Grupo de Trabajo de Composición Abierta sobre el Marco Mundial de la Diversidad Biológica posterior a 2020 en el presupuesto básico, celebrándose cualquier otra reunión adicional con sujeción a la disponibilidad de recursos, y observando que la celebración de la segunda reunión del Grupo de Trabajo en Roma, en febrero de 2020, debido a la pandemia de COVID-19, tiene consecuencias para la financiación de una tercera reunión del Grupo de Trabajo</w:t>
      </w:r>
      <w:bookmarkEnd w:id="2"/>
      <w:r>
        <w:rPr>
          <w:rFonts w:cs="Times New Roman"/>
          <w:color w:val="000000"/>
          <w:sz w:val="22"/>
          <w:szCs w:val="22"/>
        </w:rPr>
        <w:t>,</w:t>
      </w:r>
    </w:p>
    <w:p w:rsidR="006E4F84" w:rsidRDefault="006E4F84">
      <w:pPr>
        <w:suppressLineNumbers/>
        <w:suppressAutoHyphens/>
        <w:kinsoku w:val="0"/>
        <w:overflowPunct w:val="0"/>
        <w:autoSpaceDE w:val="0"/>
        <w:autoSpaceDN w:val="0"/>
        <w:spacing w:before="120" w:after="120"/>
        <w:ind w:firstLine="720"/>
        <w:rPr>
          <w:rFonts w:cs="Times New Roman"/>
          <w:kern w:val="22"/>
          <w:sz w:val="22"/>
          <w:szCs w:val="22"/>
        </w:rPr>
      </w:pPr>
      <w:r>
        <w:rPr>
          <w:rFonts w:cs="Times New Roman"/>
          <w:i/>
          <w:iCs/>
          <w:sz w:val="22"/>
          <w:szCs w:val="22"/>
        </w:rPr>
        <w:t>Tomando nota</w:t>
      </w:r>
      <w:r>
        <w:rPr>
          <w:rFonts w:cs="Times New Roman"/>
          <w:sz w:val="22"/>
          <w:szCs w:val="22"/>
        </w:rPr>
        <w:t xml:space="preserve"> de la nota de la Secretaria Ejecutiva</w:t>
      </w:r>
      <w:bookmarkStart w:id="3" w:name="_Ref51446751"/>
      <w:r>
        <w:rPr>
          <w:rStyle w:val="FootnoteReference"/>
          <w:rFonts w:cs="Times New Roman"/>
          <w:kern w:val="22"/>
        </w:rPr>
        <w:footnoteReference w:id="3"/>
      </w:r>
      <w:bookmarkEnd w:id="3"/>
      <w:r>
        <w:rPr>
          <w:rFonts w:cs="Times New Roman"/>
          <w:sz w:val="22"/>
          <w:szCs w:val="22"/>
        </w:rPr>
        <w:t>,</w:t>
      </w:r>
    </w:p>
    <w:p w:rsidR="006E4F84" w:rsidRDefault="006E4F84">
      <w:pPr>
        <w:suppressLineNumbers/>
        <w:suppressAutoHyphens/>
        <w:kinsoku w:val="0"/>
        <w:overflowPunct w:val="0"/>
        <w:autoSpaceDE w:val="0"/>
        <w:autoSpaceDN w:val="0"/>
        <w:spacing w:before="120" w:after="120"/>
        <w:ind w:firstLine="720"/>
        <w:jc w:val="both"/>
        <w:rPr>
          <w:rFonts w:cs="Times New Roman"/>
          <w:kern w:val="22"/>
          <w:sz w:val="22"/>
          <w:szCs w:val="22"/>
        </w:rPr>
      </w:pPr>
      <w:r>
        <w:rPr>
          <w:rFonts w:cs="Times New Roman"/>
          <w:i/>
          <w:iCs/>
          <w:sz w:val="22"/>
          <w:szCs w:val="22"/>
        </w:rPr>
        <w:t>Reconociendo</w:t>
      </w:r>
      <w:r>
        <w:rPr>
          <w:rFonts w:cs="Times New Roman"/>
          <w:sz w:val="22"/>
          <w:szCs w:val="22"/>
        </w:rPr>
        <w:t xml:space="preserve"> el carácter excepcional de las circunstancias derivadas de la pandemia y expresando solidaridad entre todas las Partes al hacer frente a sus repercusiones humanas y económicas,</w:t>
      </w:r>
    </w:p>
    <w:p w:rsidR="006E4F84" w:rsidRDefault="006E4F84">
      <w:pPr>
        <w:suppressLineNumbers/>
        <w:suppressAutoHyphens/>
        <w:kinsoku w:val="0"/>
        <w:overflowPunct w:val="0"/>
        <w:autoSpaceDE w:val="0"/>
        <w:autoSpaceDN w:val="0"/>
        <w:spacing w:before="120" w:after="120"/>
        <w:ind w:firstLine="720"/>
        <w:jc w:val="both"/>
        <w:rPr>
          <w:rFonts w:cs="Times New Roman"/>
          <w:kern w:val="22"/>
          <w:sz w:val="22"/>
          <w:szCs w:val="22"/>
        </w:rPr>
      </w:pPr>
      <w:r>
        <w:rPr>
          <w:rFonts w:cs="Times New Roman"/>
          <w:sz w:val="22"/>
          <w:szCs w:val="22"/>
        </w:rPr>
        <w:t>1.</w:t>
      </w:r>
      <w:r>
        <w:rPr>
          <w:rFonts w:cs="Times New Roman"/>
          <w:sz w:val="22"/>
          <w:szCs w:val="22"/>
        </w:rPr>
        <w:tab/>
      </w:r>
      <w:r>
        <w:rPr>
          <w:rFonts w:cs="Times New Roman"/>
          <w:i/>
          <w:iCs/>
          <w:sz w:val="22"/>
          <w:szCs w:val="22"/>
        </w:rPr>
        <w:t>Confirma</w:t>
      </w:r>
      <w:r>
        <w:rPr>
          <w:rFonts w:cs="Times New Roman"/>
          <w:sz w:val="22"/>
          <w:szCs w:val="22"/>
        </w:rPr>
        <w:t xml:space="preserve"> que la presente decisión es complementaria a la decisión 14/37, que se mantiene en vigor hasta la próxima reunión de la Conferencia de las Partes, y que sus disposiciones se aplicarán también para el año 2021, a menos que se disponga otra cosa en la presente decisión;</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sz w:val="22"/>
          <w:szCs w:val="22"/>
        </w:rPr>
        <w:t>2.</w:t>
      </w:r>
      <w:r>
        <w:rPr>
          <w:rFonts w:cs="Times New Roman"/>
          <w:i/>
          <w:iCs/>
          <w:sz w:val="22"/>
          <w:szCs w:val="22"/>
        </w:rPr>
        <w:tab/>
        <w:t>Decide</w:t>
      </w:r>
      <w:r>
        <w:rPr>
          <w:rFonts w:cs="Times New Roman"/>
          <w:sz w:val="22"/>
          <w:szCs w:val="22"/>
        </w:rPr>
        <w:t xml:space="preserve"> prorrogar hasta el 31 de diciembre de 2021 o, en caso de que la 15ª reunión de la Conferencia de las Partes no se celebre en 2021, hasta el final del mes siguiente a la clausura de la 15ª reunión de la Conferencia de las Partes, la validez de los fondos asignados en el presupuesto 2019-2020 en relación con los gastos de las reuniones de la Conferencia de las Partes y sus órganos subsidiarios que se aplacen en el bienio 2019-2020 y autoriza el arrastre de estos fondos, que se estima que ascienden a </w:t>
      </w:r>
      <w:r>
        <w:rPr>
          <w:rFonts w:cs="Times New Roman"/>
          <w:color w:val="000000"/>
          <w:sz w:val="22"/>
          <w:szCs w:val="22"/>
        </w:rPr>
        <w:t>2.815.653 dólares de los Estados Unidos</w:t>
      </w:r>
      <w:r>
        <w:rPr>
          <w:rFonts w:cs="Times New Roman"/>
          <w:sz w:val="22"/>
          <w:szCs w:val="22"/>
        </w:rPr>
        <w:t xml:space="preserve"> y se gastarán en 2021 para los fines que se indican en el cuadro 1 más adelante;</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color w:val="000000"/>
          <w:sz w:val="22"/>
          <w:szCs w:val="22"/>
        </w:rPr>
        <w:t>3.</w:t>
      </w:r>
      <w:r>
        <w:rPr>
          <w:rFonts w:cs="Times New Roman"/>
          <w:i/>
          <w:iCs/>
          <w:color w:val="000000"/>
          <w:sz w:val="22"/>
          <w:szCs w:val="22"/>
        </w:rPr>
        <w:tab/>
      </w:r>
      <w:r>
        <w:rPr>
          <w:rFonts w:cs="Times New Roman"/>
          <w:i/>
          <w:iCs/>
          <w:sz w:val="22"/>
          <w:szCs w:val="22"/>
        </w:rPr>
        <w:t>Aprueba</w:t>
      </w:r>
      <w:r>
        <w:rPr>
          <w:rFonts w:cs="Times New Roman"/>
          <w:sz w:val="22"/>
          <w:szCs w:val="22"/>
        </w:rPr>
        <w:t>, con carácter excepcional, un presupuesto básico por programas para el Convenio de 12.411.743 dólares para el año 2021, que representa el 74 % del presupuesto integrado provisional de 16.772.626 dólares para el año 2021, para los fines que se indican en los cuadros 2a y 2b más adelante;</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sz w:val="22"/>
          <w:szCs w:val="22"/>
        </w:rPr>
        <w:t>4.</w:t>
      </w:r>
      <w:r>
        <w:rPr>
          <w:rFonts w:cs="Times New Roman"/>
          <w:i/>
          <w:iCs/>
          <w:color w:val="000000"/>
          <w:sz w:val="22"/>
          <w:szCs w:val="22"/>
        </w:rPr>
        <w:tab/>
        <w:t>Decide</w:t>
      </w:r>
      <w:r>
        <w:rPr>
          <w:rFonts w:cs="Times New Roman"/>
          <w:color w:val="000000"/>
          <w:sz w:val="22"/>
          <w:szCs w:val="22"/>
        </w:rPr>
        <w:t xml:space="preserve"> distribuir todos los gastos de los servicios de secretaría entre el Convenio, el Protocolo de Cartagena y el Protocolo de Nagoya a razón de 74 %, 15 % y 11 % para el año 2021;</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sz w:val="22"/>
          <w:szCs w:val="22"/>
        </w:rPr>
        <w:t>5.</w:t>
      </w:r>
      <w:r>
        <w:rPr>
          <w:rFonts w:cs="Times New Roman"/>
          <w:i/>
          <w:iCs/>
          <w:color w:val="000000"/>
          <w:sz w:val="22"/>
          <w:szCs w:val="22"/>
        </w:rPr>
        <w:tab/>
      </w:r>
      <w:r>
        <w:rPr>
          <w:rFonts w:cs="Times New Roman"/>
          <w:i/>
          <w:iCs/>
          <w:sz w:val="22"/>
          <w:szCs w:val="22"/>
        </w:rPr>
        <w:t>Expresa</w:t>
      </w:r>
      <w:r>
        <w:rPr>
          <w:rFonts w:cs="Times New Roman"/>
          <w:sz w:val="22"/>
          <w:szCs w:val="22"/>
        </w:rPr>
        <w:t xml:space="preserve"> su agradecimiento al Gobierno del Canadá como país anfitrión por su renovado apoyo a la Secretaría, y </w:t>
      </w:r>
      <w:r>
        <w:rPr>
          <w:rFonts w:cs="Times New Roman"/>
          <w:i/>
          <w:iCs/>
          <w:sz w:val="22"/>
          <w:szCs w:val="22"/>
        </w:rPr>
        <w:t>acoge con satisfacción</w:t>
      </w:r>
      <w:r>
        <w:rPr>
          <w:rFonts w:cs="Times New Roman"/>
          <w:sz w:val="22"/>
          <w:szCs w:val="22"/>
        </w:rPr>
        <w:t xml:space="preserve"> la contribución de 2.072.000 dólares canadienses para el año 2021 por parte del país anfitrión y la Provincia de Quebec para sufragar el alquiler y los gastos conexos de la Secretaría en Montreal, que se asignarán a razón de 74 %, 15 % y 11 % y para compensar las contribuciones de las Partes en el Convenio, el Protocolo de Cartagena y el Protocolo de Nagoya, respectivamente, para el año 2021;</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color w:val="000000"/>
          <w:sz w:val="22"/>
          <w:szCs w:val="22"/>
        </w:rPr>
        <w:t>6.</w:t>
      </w:r>
      <w:r>
        <w:rPr>
          <w:rFonts w:cs="Times New Roman"/>
          <w:i/>
          <w:iCs/>
          <w:color w:val="000000"/>
          <w:sz w:val="22"/>
          <w:szCs w:val="22"/>
        </w:rPr>
        <w:tab/>
        <w:t>Adopta</w:t>
      </w:r>
      <w:r>
        <w:rPr>
          <w:rFonts w:cs="Times New Roman"/>
          <w:color w:val="000000"/>
          <w:sz w:val="22"/>
          <w:szCs w:val="22"/>
        </w:rPr>
        <w:t xml:space="preserve"> la escala de cuotas para el prorrateo de los gastos para 2021, de conformidad con la actual escala de cuotas de las Naciones Unidas, según figura en el cuadro 4 más adelante;</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color w:val="000000"/>
          <w:sz w:val="22"/>
          <w:szCs w:val="22"/>
        </w:rPr>
        <w:t>7.</w:t>
      </w:r>
      <w:r>
        <w:rPr>
          <w:rFonts w:cs="Times New Roman"/>
          <w:i/>
          <w:iCs/>
          <w:color w:val="000000"/>
          <w:sz w:val="22"/>
          <w:szCs w:val="22"/>
        </w:rPr>
        <w:tab/>
        <w:t>Adopta también</w:t>
      </w:r>
      <w:r>
        <w:rPr>
          <w:rFonts w:cs="Times New Roman"/>
          <w:color w:val="000000"/>
          <w:sz w:val="22"/>
          <w:szCs w:val="22"/>
        </w:rPr>
        <w:t xml:space="preserve"> la plantilla de la Secretaría (cuadro 3) para el año 2021, que se utilizará para calcular los costos a fin de establecer el presupuesto general;</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sz w:val="22"/>
          <w:szCs w:val="22"/>
        </w:rPr>
        <w:t>8.</w:t>
      </w:r>
      <w:r>
        <w:rPr>
          <w:rFonts w:cs="Times New Roman"/>
          <w:sz w:val="22"/>
          <w:szCs w:val="22"/>
        </w:rPr>
        <w:tab/>
      </w:r>
      <w:r>
        <w:rPr>
          <w:rFonts w:cs="Times New Roman"/>
          <w:i/>
          <w:iCs/>
          <w:sz w:val="22"/>
          <w:szCs w:val="22"/>
        </w:rPr>
        <w:t>Pide</w:t>
      </w:r>
      <w:r>
        <w:rPr>
          <w:rFonts w:cs="Times New Roman"/>
          <w:sz w:val="22"/>
          <w:szCs w:val="22"/>
        </w:rPr>
        <w:t xml:space="preserve"> a la Directora Ejecutiva del Programa de las Naciones Unidas sobre el Medio Ambiente que proporcione información pertinente para la revisión del puesto de Secretario Ejecutivo Adjunto para la Conferencia de las Partes en su 15ª reunión, a los efectos de que la considere en el contexto de las necesidades de dotación de personal generales de la Secretaría;</w:t>
      </w:r>
    </w:p>
    <w:p w:rsidR="006E4F84" w:rsidRDefault="006E4F84">
      <w:pPr>
        <w:suppressLineNumbers/>
        <w:suppressAutoHyphens/>
        <w:kinsoku w:val="0"/>
        <w:overflowPunct w:val="0"/>
        <w:autoSpaceDE w:val="0"/>
        <w:autoSpaceDN w:val="0"/>
        <w:spacing w:before="120" w:after="120"/>
        <w:ind w:firstLine="709"/>
        <w:jc w:val="both"/>
        <w:rPr>
          <w:rFonts w:eastAsia="Malgun Gothic" w:cs="Times New Roman"/>
          <w:color w:val="000000"/>
          <w:kern w:val="22"/>
          <w:sz w:val="22"/>
          <w:szCs w:val="22"/>
        </w:rPr>
      </w:pPr>
      <w:bookmarkStart w:id="4" w:name="_Hlk54002604"/>
      <w:r>
        <w:rPr>
          <w:rFonts w:cs="Times New Roman"/>
          <w:color w:val="000000"/>
          <w:sz w:val="22"/>
          <w:szCs w:val="22"/>
        </w:rPr>
        <w:t>9.</w:t>
      </w:r>
      <w:r>
        <w:rPr>
          <w:rFonts w:cs="Times New Roman"/>
          <w:i/>
          <w:iCs/>
          <w:color w:val="000000"/>
          <w:sz w:val="22"/>
          <w:szCs w:val="22"/>
        </w:rPr>
        <w:tab/>
      </w:r>
      <w:r>
        <w:rPr>
          <w:rFonts w:cs="Times New Roman"/>
          <w:i/>
          <w:iCs/>
          <w:sz w:val="22"/>
          <w:szCs w:val="22"/>
        </w:rPr>
        <w:t>Autoriza</w:t>
      </w:r>
      <w:r>
        <w:rPr>
          <w:rFonts w:cs="Times New Roman"/>
          <w:sz w:val="22"/>
          <w:szCs w:val="22"/>
        </w:rPr>
        <w:t xml:space="preserve"> a la Secretaria Ejecutiva a celebrar compromisos, dentro de los niveles del presupuesto aprobado, utilizando para ello los recursos disponibles en efectivo, incluidos saldos no utilizados, contribuciones de ejercicios económicos anteriores e ingresos varios, de conformidad con las decisiones de la Conferencia de las Partes el Reglamento Financiero y la Reglamentación Financiera Detallada del Programa de las Naciones Unidas para el Medio Ambiente;</w:t>
      </w:r>
    </w:p>
    <w:bookmarkEnd w:id="4"/>
    <w:p w:rsidR="006E4F84" w:rsidRDefault="006E4F84">
      <w:pPr>
        <w:suppressLineNumbers/>
        <w:suppressAutoHyphens/>
        <w:kinsoku w:val="0"/>
        <w:overflowPunct w:val="0"/>
        <w:autoSpaceDE w:val="0"/>
        <w:autoSpaceDN w:val="0"/>
        <w:spacing w:before="120" w:after="120"/>
        <w:ind w:firstLine="709"/>
        <w:jc w:val="both"/>
        <w:rPr>
          <w:rFonts w:eastAsia="Malgun Gothic" w:cs="Times New Roman"/>
          <w:color w:val="000000"/>
          <w:kern w:val="22"/>
          <w:sz w:val="22"/>
          <w:szCs w:val="22"/>
        </w:rPr>
      </w:pPr>
      <w:r>
        <w:rPr>
          <w:rFonts w:cs="Times New Roman"/>
          <w:color w:val="000000"/>
          <w:sz w:val="22"/>
          <w:szCs w:val="22"/>
        </w:rPr>
        <w:t>10.</w:t>
      </w:r>
      <w:r>
        <w:rPr>
          <w:rFonts w:cs="Times New Roman"/>
          <w:i/>
          <w:iCs/>
          <w:color w:val="000000"/>
          <w:sz w:val="22"/>
          <w:szCs w:val="22"/>
        </w:rPr>
        <w:tab/>
        <w:t>Autoriza también</w:t>
      </w:r>
      <w:r>
        <w:rPr>
          <w:rFonts w:cs="Times New Roman"/>
          <w:color w:val="000000"/>
          <w:sz w:val="22"/>
          <w:szCs w:val="22"/>
        </w:rPr>
        <w:t xml:space="preserve"> a la Secretaria Ejecutiva a transferir recursos de un programa a otro, entre los sectores de consignaciones principales establecidos en el cuadro 2b que figura más adelante, hasta un límite global del 15 % del presupuesto por programas total, siempre que se aplique una limitación adicional de hasta un máximo del 25 % de cada uno de estos sectores de consignaciones;</w:t>
      </w:r>
    </w:p>
    <w:p w:rsidR="006E4F84" w:rsidRDefault="006E4F84">
      <w:pPr>
        <w:suppressLineNumbers/>
        <w:suppressAutoHyphens/>
        <w:kinsoku w:val="0"/>
        <w:overflowPunct w:val="0"/>
        <w:autoSpaceDE w:val="0"/>
        <w:autoSpaceDN w:val="0"/>
        <w:spacing w:before="120" w:after="120"/>
        <w:ind w:firstLine="709"/>
        <w:jc w:val="both"/>
        <w:rPr>
          <w:rFonts w:eastAsia="Malgun Gothic" w:cs="Times New Roman"/>
          <w:color w:val="000000"/>
          <w:kern w:val="22"/>
          <w:sz w:val="22"/>
          <w:szCs w:val="22"/>
        </w:rPr>
      </w:pPr>
      <w:r>
        <w:rPr>
          <w:rFonts w:cs="Times New Roman"/>
          <w:color w:val="000000"/>
          <w:sz w:val="22"/>
          <w:szCs w:val="22"/>
        </w:rPr>
        <w:t>11.</w:t>
      </w:r>
      <w:r>
        <w:rPr>
          <w:rFonts w:cs="Times New Roman"/>
          <w:color w:val="000000"/>
          <w:sz w:val="22"/>
          <w:szCs w:val="22"/>
        </w:rPr>
        <w:tab/>
      </w:r>
      <w:r>
        <w:rPr>
          <w:rFonts w:cs="Times New Roman"/>
          <w:i/>
          <w:iCs/>
          <w:sz w:val="22"/>
          <w:szCs w:val="22"/>
        </w:rPr>
        <w:t>Reconoce</w:t>
      </w:r>
      <w:r>
        <w:rPr>
          <w:rFonts w:cs="Times New Roman"/>
          <w:color w:val="000000"/>
          <w:sz w:val="22"/>
          <w:szCs w:val="22"/>
        </w:rPr>
        <w:t xml:space="preserve"> las circunstancias extraordinarias que se derivan de la pandemia y acuerda, en forma excepcional, apartarse de lo que se indica en la nota el pie número 4 del cuadro 1b de la decisión 14/37 y permitir la utilización de una suma de hasta 395.500 dólares de las reservas para la tercera reunión del Grupo de Trabajo sobre el Marco Mundial de la Diversidad Biológica posterior a 2020 con miras a apoyar la elaboración del marco mundial de la diversidad biológica posterior a 2020 en el caso de que no se obtenga financiación de carácter voluntario a más tardar para el 31 de diciembre de 2020;</w:t>
      </w:r>
    </w:p>
    <w:p w:rsidR="006E4F84" w:rsidRDefault="006E4F84">
      <w:pPr>
        <w:suppressLineNumbers/>
        <w:suppressAutoHyphens/>
        <w:kinsoku w:val="0"/>
        <w:overflowPunct w:val="0"/>
        <w:autoSpaceDE w:val="0"/>
        <w:autoSpaceDN w:val="0"/>
        <w:spacing w:before="120" w:after="120"/>
        <w:ind w:firstLine="709"/>
        <w:jc w:val="both"/>
        <w:rPr>
          <w:rFonts w:eastAsia="Malgun Gothic" w:cs="Times New Roman"/>
          <w:kern w:val="22"/>
          <w:sz w:val="22"/>
          <w:szCs w:val="22"/>
        </w:rPr>
      </w:pPr>
      <w:r>
        <w:rPr>
          <w:rFonts w:cs="Times New Roman"/>
          <w:sz w:val="22"/>
          <w:szCs w:val="22"/>
        </w:rPr>
        <w:t>12.</w:t>
      </w:r>
      <w:r>
        <w:rPr>
          <w:rFonts w:cs="Times New Roman"/>
          <w:sz w:val="22"/>
          <w:szCs w:val="22"/>
        </w:rPr>
        <w:tab/>
      </w:r>
      <w:r>
        <w:rPr>
          <w:rFonts w:cs="Times New Roman"/>
          <w:i/>
          <w:iCs/>
          <w:sz w:val="22"/>
          <w:szCs w:val="22"/>
        </w:rPr>
        <w:t>Pide</w:t>
      </w:r>
      <w:r>
        <w:rPr>
          <w:rFonts w:cs="Times New Roman"/>
          <w:sz w:val="22"/>
          <w:szCs w:val="22"/>
        </w:rPr>
        <w:t xml:space="preserve"> a la Secretaria Ejecutiva que siga formulando activamente convocatorias a la presentación de contribuciones voluntarias hasta esa fecha;</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color w:val="000000"/>
          <w:sz w:val="22"/>
          <w:szCs w:val="22"/>
        </w:rPr>
        <w:t>13.</w:t>
      </w:r>
      <w:r>
        <w:rPr>
          <w:rFonts w:cs="Times New Roman"/>
          <w:i/>
          <w:iCs/>
          <w:color w:val="000000"/>
          <w:sz w:val="22"/>
          <w:szCs w:val="22"/>
        </w:rPr>
        <w:tab/>
        <w:t>Invita</w:t>
      </w:r>
      <w:r>
        <w:rPr>
          <w:rFonts w:cs="Times New Roman"/>
          <w:color w:val="000000"/>
          <w:sz w:val="22"/>
          <w:szCs w:val="22"/>
        </w:rPr>
        <w:t xml:space="preserve"> a todas las Partes en el Convenio a tomar nota de que las contribuciones a los presupuestos básicos por programas (BY, BG y BB) son pagaderas al 1 de enero del año para el que fueron presupuestadas, y a pagarlas sin demora, y </w:t>
      </w:r>
      <w:r>
        <w:rPr>
          <w:rFonts w:cs="Times New Roman"/>
          <w:i/>
          <w:iCs/>
          <w:color w:val="000000"/>
          <w:sz w:val="22"/>
          <w:szCs w:val="22"/>
        </w:rPr>
        <w:t>pide</w:t>
      </w:r>
      <w:r>
        <w:rPr>
          <w:rFonts w:cs="Times New Roman"/>
          <w:color w:val="000000"/>
          <w:sz w:val="22"/>
          <w:szCs w:val="22"/>
        </w:rPr>
        <w:t xml:space="preserve"> que se notifique a las Partes la cuantía de sus contribuciones lo más temprano posible durante el año anterior al año en que vencen las contribuciones;</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color w:val="000000"/>
          <w:sz w:val="22"/>
          <w:szCs w:val="22"/>
        </w:rPr>
        <w:t>14.</w:t>
      </w:r>
      <w:r>
        <w:rPr>
          <w:rFonts w:cs="Times New Roman"/>
          <w:i/>
          <w:iCs/>
          <w:color w:val="000000"/>
          <w:sz w:val="22"/>
          <w:szCs w:val="22"/>
        </w:rPr>
        <w:tab/>
      </w:r>
      <w:r>
        <w:rPr>
          <w:rFonts w:cs="Times New Roman"/>
          <w:i/>
          <w:iCs/>
          <w:sz w:val="22"/>
          <w:szCs w:val="22"/>
        </w:rPr>
        <w:t>Observa con preocupación</w:t>
      </w:r>
      <w:r>
        <w:rPr>
          <w:rFonts w:cs="Times New Roman"/>
          <w:sz w:val="22"/>
          <w:szCs w:val="22"/>
        </w:rPr>
        <w:t xml:space="preserve"> que varias Partes no han pagado sus contribuciones correspondientes a los presupuestos básicos (fondos fiduciarios BY, BG y BB) para 2020 y años anteriores, entre las que se incluyen Partes que nunca han pagado sus contribuciones, y pone de relieve la urgencia de que la Secretaría obtenga economías y ahorros a fin de conducir sus operaciones en circunstancias de incertidumbre;</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color w:val="000000"/>
          <w:sz w:val="22"/>
          <w:szCs w:val="22"/>
        </w:rPr>
        <w:t>15.</w:t>
      </w:r>
      <w:r>
        <w:rPr>
          <w:rFonts w:cs="Times New Roman"/>
          <w:i/>
          <w:iCs/>
          <w:color w:val="000000"/>
          <w:sz w:val="22"/>
          <w:szCs w:val="22"/>
        </w:rPr>
        <w:tab/>
        <w:t>Observa</w:t>
      </w:r>
      <w:r>
        <w:rPr>
          <w:rFonts w:cs="Times New Roman"/>
          <w:color w:val="000000"/>
          <w:sz w:val="22"/>
          <w:szCs w:val="22"/>
        </w:rPr>
        <w:t xml:space="preserve"> que los fondos fiduciarios para el Convenio y sus Protocolos (BY, BG y BB) deberían prorrogarse por un período de dos años, que comenzaría el 1 de enero de 2022 y finalizaría el 31 de diciembre de 2023, y </w:t>
      </w:r>
      <w:r>
        <w:rPr>
          <w:rFonts w:cs="Times New Roman"/>
          <w:i/>
          <w:iCs/>
          <w:color w:val="000000"/>
          <w:sz w:val="22"/>
          <w:szCs w:val="22"/>
        </w:rPr>
        <w:t>pide</w:t>
      </w:r>
      <w:r>
        <w:rPr>
          <w:rFonts w:cs="Times New Roman"/>
          <w:color w:val="000000"/>
          <w:sz w:val="22"/>
          <w:szCs w:val="22"/>
        </w:rPr>
        <w:t xml:space="preserve"> a la Directora Ejecutiva del Programa de las Naciones Unidas para el Medio Ambiente que solicite la aprobación de la Asamblea de las Naciones Unidas sobre el Medio Ambiente para esa prórroga;</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sz w:val="22"/>
          <w:szCs w:val="22"/>
        </w:rPr>
        <w:t>16.</w:t>
      </w:r>
      <w:r>
        <w:rPr>
          <w:rFonts w:cs="Times New Roman"/>
          <w:i/>
          <w:iCs/>
          <w:color w:val="000000"/>
          <w:sz w:val="22"/>
          <w:szCs w:val="22"/>
        </w:rPr>
        <w:tab/>
      </w:r>
      <w:r>
        <w:rPr>
          <w:rFonts w:cs="Times New Roman"/>
          <w:i/>
          <w:iCs/>
          <w:sz w:val="22"/>
          <w:szCs w:val="22"/>
        </w:rPr>
        <w:t>Observa</w:t>
      </w:r>
      <w:r>
        <w:rPr>
          <w:rFonts w:cs="Times New Roman"/>
          <w:sz w:val="22"/>
          <w:szCs w:val="22"/>
        </w:rPr>
        <w:t xml:space="preserve"> que los fondos fiduciarios voluntarios (BE, BZ, VB) para el Convenio y sus Protocolos deberían prorrogarse por un período de cuatro años que comenzaría el 1 de enero de 2022 y finalizaría el 31 de diciembre de 2025 y </w:t>
      </w:r>
      <w:r>
        <w:rPr>
          <w:rFonts w:cs="Times New Roman"/>
          <w:i/>
          <w:iCs/>
          <w:sz w:val="22"/>
          <w:szCs w:val="22"/>
        </w:rPr>
        <w:t>pide</w:t>
      </w:r>
      <w:r>
        <w:rPr>
          <w:rFonts w:cs="Times New Roman"/>
          <w:sz w:val="22"/>
          <w:szCs w:val="22"/>
        </w:rPr>
        <w:t xml:space="preserve"> a la Directora Ejecutiva del Programa de las Naciones Unidas para el Medio Ambiente que solicite la aprobación de la Asamblea de las Naciones Unidas sobre el Medio Ambiente para esa prórroga;</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sz w:val="22"/>
          <w:szCs w:val="22"/>
        </w:rPr>
        <w:t>17.</w:t>
      </w:r>
      <w:r>
        <w:rPr>
          <w:rFonts w:cs="Times New Roman"/>
          <w:i/>
          <w:iCs/>
          <w:sz w:val="22"/>
          <w:szCs w:val="22"/>
        </w:rPr>
        <w:tab/>
        <w:t>Afirma</w:t>
      </w:r>
      <w:r>
        <w:rPr>
          <w:rFonts w:cs="Times New Roman"/>
          <w:sz w:val="22"/>
          <w:szCs w:val="22"/>
        </w:rPr>
        <w:t xml:space="preserve"> que la presente decisión no afecta las ulteriores decisiones que adopte la Conferencia de las Partes en su 15ª reunión y acuerda examinar, en su próxima reunión ordinaria, las modalidades para hacer un seguimiento de las decisiones sobre asuntos presupuestarios durante el período entre sesiones;</w:t>
      </w:r>
    </w:p>
    <w:p w:rsidR="006E4F84" w:rsidRDefault="006E4F84">
      <w:pPr>
        <w:suppressLineNumbers/>
        <w:suppressAutoHyphens/>
        <w:kinsoku w:val="0"/>
        <w:overflowPunct w:val="0"/>
        <w:autoSpaceDE w:val="0"/>
        <w:autoSpaceDN w:val="0"/>
        <w:spacing w:before="120" w:after="120"/>
        <w:ind w:firstLine="709"/>
        <w:jc w:val="both"/>
        <w:rPr>
          <w:rFonts w:cs="Times New Roman"/>
          <w:kern w:val="22"/>
          <w:sz w:val="22"/>
          <w:szCs w:val="22"/>
        </w:rPr>
      </w:pPr>
      <w:r>
        <w:rPr>
          <w:rFonts w:cs="Times New Roman"/>
          <w:sz w:val="22"/>
          <w:szCs w:val="22"/>
        </w:rPr>
        <w:t>18.</w:t>
      </w:r>
      <w:r>
        <w:rPr>
          <w:rFonts w:cs="Times New Roman"/>
          <w:i/>
          <w:iCs/>
          <w:sz w:val="22"/>
          <w:szCs w:val="22"/>
        </w:rPr>
        <w:tab/>
        <w:t>Pide</w:t>
      </w:r>
      <w:r>
        <w:rPr>
          <w:rFonts w:cs="Times New Roman"/>
          <w:sz w:val="22"/>
          <w:szCs w:val="22"/>
        </w:rPr>
        <w:t xml:space="preserve"> a la Secretaria Ejecutiva que:</w:t>
      </w:r>
    </w:p>
    <w:p w:rsidR="006E4F84" w:rsidRDefault="006E4F84">
      <w:pPr>
        <w:pStyle w:val="Heading2longmultiline"/>
        <w:numPr>
          <w:ilvl w:val="1"/>
          <w:numId w:val="89"/>
        </w:numPr>
        <w:suppressLineNumbers/>
        <w:suppressAutoHyphens/>
        <w:kinsoku w:val="0"/>
        <w:overflowPunct w:val="0"/>
        <w:autoSpaceDE w:val="0"/>
        <w:autoSpaceDN w:val="0"/>
        <w:ind w:left="0" w:firstLine="720"/>
        <w:jc w:val="both"/>
        <w:rPr>
          <w:b w:val="0"/>
          <w:bCs w:val="0"/>
          <w:i w:val="0"/>
          <w:iCs w:val="0"/>
          <w:kern w:val="22"/>
        </w:rPr>
      </w:pPr>
      <w:bookmarkStart w:id="5" w:name="_Toc57972493"/>
      <w:r>
        <w:rPr>
          <w:b w:val="0"/>
          <w:bCs w:val="0"/>
          <w:i w:val="0"/>
          <w:iCs w:val="0"/>
        </w:rPr>
        <w:t>Tenga en cuenta la presente decisión al elaborar las propuestas presupuestarias para el bienio 2021-2022, de conformidad con la decisión 14/37, párrafo 48;</w:t>
      </w:r>
      <w:bookmarkEnd w:id="5"/>
    </w:p>
    <w:p w:rsidR="006E4F84" w:rsidRDefault="006E4F84">
      <w:pPr>
        <w:pStyle w:val="Heading2longmultiline"/>
        <w:numPr>
          <w:ilvl w:val="1"/>
          <w:numId w:val="89"/>
        </w:numPr>
        <w:suppressLineNumbers/>
        <w:suppressAutoHyphens/>
        <w:kinsoku w:val="0"/>
        <w:overflowPunct w:val="0"/>
        <w:autoSpaceDE w:val="0"/>
        <w:autoSpaceDN w:val="0"/>
        <w:ind w:left="0" w:firstLine="720"/>
        <w:jc w:val="both"/>
        <w:rPr>
          <w:b w:val="0"/>
          <w:bCs w:val="0"/>
          <w:i w:val="0"/>
          <w:iCs w:val="0"/>
        </w:rPr>
      </w:pPr>
      <w:bookmarkStart w:id="6" w:name="_Toc57972494"/>
      <w:r>
        <w:rPr>
          <w:b w:val="0"/>
          <w:bCs w:val="0"/>
          <w:i w:val="0"/>
          <w:iCs w:val="0"/>
        </w:rPr>
        <w:t>Prepare también propuestas presupuestarias para el período 2021-2023, en espera de una decisión de la Conferencia de las Partes y las reuniones de la Conferencia de las Partes que actúa como reunión de las Partes en los Protocolos de Cartagena y de Nagoya sobre las fechas de sus reuniones 16ª, 11ª y 5ª, respectivamente.</w:t>
      </w:r>
      <w:bookmarkEnd w:id="6"/>
    </w:p>
    <w:p w:rsidR="006E4F84" w:rsidRDefault="006E4F84">
      <w:pPr>
        <w:rPr>
          <w:rFonts w:cs="Times New Roman"/>
          <w:sz w:val="22"/>
          <w:szCs w:val="22"/>
        </w:rPr>
      </w:pPr>
      <w:r>
        <w:rPr>
          <w:rFonts w:cs="Times New Roman"/>
          <w:b/>
          <w:bCs/>
          <w:i/>
          <w:iCs/>
        </w:rPr>
        <w:br w:type="page"/>
      </w:r>
    </w:p>
    <w:tbl>
      <w:tblPr>
        <w:tblW w:w="9360" w:type="dxa"/>
        <w:tblInd w:w="-106" w:type="dxa"/>
        <w:tblLook w:val="0000"/>
      </w:tblPr>
      <w:tblGrid>
        <w:gridCol w:w="4533"/>
        <w:gridCol w:w="1106"/>
        <w:gridCol w:w="1545"/>
        <w:gridCol w:w="1190"/>
        <w:gridCol w:w="986"/>
      </w:tblGrid>
      <w:tr w:rsidR="006E4F84">
        <w:trPr>
          <w:trHeight w:val="585"/>
        </w:trPr>
        <w:tc>
          <w:tcPr>
            <w:tcW w:w="9360" w:type="dxa"/>
            <w:gridSpan w:val="5"/>
            <w:tcBorders>
              <w:top w:val="nil"/>
              <w:left w:val="nil"/>
              <w:bottom w:val="nil"/>
              <w:right w:val="nil"/>
            </w:tcBorders>
            <w:vAlign w:val="center"/>
          </w:tcPr>
          <w:p w:rsidR="006E4F84" w:rsidRDefault="006E4F84">
            <w:pPr>
              <w:suppressLineNumbers/>
              <w:suppressAutoHyphens/>
              <w:kinsoku w:val="0"/>
              <w:overflowPunct w:val="0"/>
              <w:autoSpaceDE w:val="0"/>
              <w:autoSpaceDN w:val="0"/>
              <w:rPr>
                <w:rFonts w:cs="Times New Roman"/>
                <w:b/>
                <w:bCs/>
                <w:color w:val="000000"/>
                <w:kern w:val="22"/>
                <w:sz w:val="22"/>
                <w:szCs w:val="22"/>
              </w:rPr>
            </w:pPr>
            <w:bookmarkStart w:id="7" w:name="_Hlk55478516"/>
            <w:r>
              <w:rPr>
                <w:rFonts w:cs="Times New Roman"/>
                <w:b/>
                <w:bCs/>
                <w:color w:val="000000"/>
                <w:sz w:val="22"/>
                <w:szCs w:val="22"/>
              </w:rPr>
              <w:t>Cuadro 1</w:t>
            </w:r>
          </w:p>
          <w:p w:rsidR="006E4F84" w:rsidRDefault="006E4F84">
            <w:pPr>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Presupuesto integrado para los Fondos Fiduciarios del Convenio sobre la Diversidad Biológica y sus Protocolos para 2019-2020</w:t>
            </w:r>
          </w:p>
        </w:tc>
      </w:tr>
      <w:tr w:rsidR="006E4F84">
        <w:trPr>
          <w:trHeight w:val="1020"/>
        </w:trPr>
        <w:tc>
          <w:tcPr>
            <w:tcW w:w="4533" w:type="dxa"/>
            <w:tcBorders>
              <w:top w:val="single" w:sz="4" w:space="0" w:color="auto"/>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jc w:val="center"/>
              <w:rPr>
                <w:rFonts w:cs="Times New Roman"/>
                <w:i/>
                <w:iCs/>
                <w:color w:val="000000"/>
                <w:kern w:val="22"/>
                <w:sz w:val="18"/>
                <w:szCs w:val="18"/>
              </w:rPr>
            </w:pPr>
            <w:r>
              <w:rPr>
                <w:rFonts w:cs="Times New Roman"/>
                <w:i/>
                <w:iCs/>
                <w:color w:val="000000"/>
                <w:sz w:val="18"/>
                <w:szCs w:val="18"/>
              </w:rPr>
              <w:t>Objeto de gastos</w:t>
            </w:r>
            <w:r>
              <w:rPr>
                <w:rFonts w:cs="Times New Roman"/>
                <w:i/>
                <w:iCs/>
                <w:color w:val="000000"/>
                <w:sz w:val="18"/>
                <w:szCs w:val="18"/>
              </w:rPr>
              <w:br/>
              <w:t>(Miles de dólares de los Estados Unidos)</w:t>
            </w:r>
          </w:p>
        </w:tc>
        <w:tc>
          <w:tcPr>
            <w:tcW w:w="1106" w:type="dxa"/>
            <w:tcBorders>
              <w:top w:val="single" w:sz="4" w:space="0" w:color="auto"/>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center"/>
              <w:rPr>
                <w:rFonts w:cs="Times New Roman"/>
                <w:i/>
                <w:iCs/>
                <w:color w:val="000000"/>
                <w:kern w:val="22"/>
                <w:sz w:val="18"/>
                <w:szCs w:val="18"/>
              </w:rPr>
            </w:pPr>
            <w:r>
              <w:rPr>
                <w:rFonts w:cs="Times New Roman"/>
                <w:i/>
                <w:iCs/>
                <w:color w:val="000000"/>
                <w:sz w:val="18"/>
                <w:szCs w:val="18"/>
              </w:rPr>
              <w:t>Presupuesto total aprobado</w:t>
            </w:r>
          </w:p>
        </w:tc>
        <w:tc>
          <w:tcPr>
            <w:tcW w:w="1545"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center"/>
              <w:rPr>
                <w:rFonts w:cs="Times New Roman"/>
                <w:i/>
                <w:iCs/>
                <w:color w:val="000000"/>
                <w:kern w:val="22"/>
                <w:sz w:val="18"/>
                <w:szCs w:val="18"/>
              </w:rPr>
            </w:pPr>
            <w:r>
              <w:rPr>
                <w:rFonts w:cs="Times New Roman"/>
                <w:i/>
                <w:iCs/>
                <w:color w:val="000000"/>
                <w:sz w:val="18"/>
                <w:szCs w:val="18"/>
              </w:rPr>
              <w:t>Total de gastos estimados</w:t>
            </w:r>
            <w:r>
              <w:rPr>
                <w:rFonts w:cs="Times New Roman"/>
                <w:i/>
                <w:iCs/>
                <w:color w:val="000000"/>
              </w:rPr>
              <w:t> </w:t>
            </w:r>
            <w:r>
              <w:rPr>
                <w:rFonts w:cs="Times New Roman"/>
                <w:i/>
                <w:iCs/>
                <w:color w:val="000000"/>
                <w:sz w:val="14"/>
                <w:szCs w:val="14"/>
              </w:rPr>
              <w:t>(1 de enero de 2019-31 de diciembre de 2020)</w:t>
            </w:r>
          </w:p>
        </w:tc>
        <w:tc>
          <w:tcPr>
            <w:tcW w:w="1190"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center"/>
              <w:rPr>
                <w:rFonts w:cs="Times New Roman"/>
                <w:i/>
                <w:iCs/>
                <w:color w:val="000000"/>
                <w:kern w:val="22"/>
                <w:sz w:val="18"/>
                <w:szCs w:val="18"/>
              </w:rPr>
            </w:pPr>
            <w:r>
              <w:rPr>
                <w:rFonts w:cs="Times New Roman"/>
                <w:i/>
                <w:iCs/>
                <w:color w:val="000000"/>
                <w:sz w:val="18"/>
                <w:szCs w:val="18"/>
              </w:rPr>
              <w:t>Estimación de saldos arrastrados</w:t>
            </w:r>
          </w:p>
        </w:tc>
        <w:tc>
          <w:tcPr>
            <w:tcW w:w="986"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center"/>
              <w:rPr>
                <w:rFonts w:cs="Times New Roman"/>
                <w:i/>
                <w:iCs/>
                <w:color w:val="000000"/>
                <w:kern w:val="22"/>
                <w:sz w:val="18"/>
                <w:szCs w:val="18"/>
              </w:rPr>
            </w:pPr>
            <w:r>
              <w:rPr>
                <w:rFonts w:cs="Times New Roman"/>
                <w:i/>
                <w:iCs/>
                <w:color w:val="000000"/>
                <w:sz w:val="18"/>
                <w:szCs w:val="18"/>
              </w:rPr>
              <w:t>Diferencia</w:t>
            </w: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A. Gastos de personal</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23 080,5</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20 100,0</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2 980,5</w:t>
            </w: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B. Reuniones de la Mesa</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365,0</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200,0</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165,0</w:t>
            </w: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C. Viajes en comisión de servicio</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800,0</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559,6</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240,4</w:t>
            </w: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D. Consultores/subcontratistas</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100,0</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100,0</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E. Materiales de sensibilización del público/Comunicaciones</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100,0</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100,0</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F. Personal temporario/horas extraordinarias</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200,0</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200,0</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G. Capacitación</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10,0</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10,0</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H. Traducción del sitio web del mecanismo de facilitación/proyectos de sitio web</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130,0</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130,0</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I. Reuniones</w:t>
            </w:r>
            <w:r>
              <w:rPr>
                <w:rFonts w:cs="Times New Roman"/>
                <w:color w:val="000000"/>
                <w:sz w:val="16"/>
                <w:szCs w:val="16"/>
                <w:vertAlign w:val="superscript"/>
              </w:rPr>
              <w:t>1</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3 688,0</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845,8</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2 842,2</w:t>
            </w: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J. Reuniones de expertos</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320,0</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83,7</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150,0</w:t>
            </w: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86,3</w:t>
            </w: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K. Reuniones extraordinarias sobre el período posterior a 2020</w:t>
            </w:r>
            <w:r>
              <w:rPr>
                <w:rFonts w:cs="Times New Roman"/>
                <w:color w:val="000000"/>
                <w:sz w:val="18"/>
                <w:szCs w:val="18"/>
                <w:vertAlign w:val="superscript"/>
              </w:rPr>
              <w:t>2</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1 310,0</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1 100,0</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210,0</w:t>
            </w: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L. Alquiler y gastos relacionados</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2 652,9</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2 652,9</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color w:val="000000"/>
                <w:kern w:val="22"/>
                <w:sz w:val="18"/>
                <w:szCs w:val="18"/>
              </w:rPr>
            </w:pPr>
            <w:r>
              <w:rPr>
                <w:rFonts w:cs="Times New Roman"/>
                <w:color w:val="000000"/>
                <w:sz w:val="18"/>
                <w:szCs w:val="18"/>
              </w:rPr>
              <w:t>M. Gastos generales de funcionamiento</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1 453,2</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1 453,2</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b/>
                <w:bCs/>
                <w:color w:val="000000"/>
                <w:kern w:val="22"/>
                <w:sz w:val="18"/>
                <w:szCs w:val="18"/>
              </w:rPr>
            </w:pPr>
            <w:r>
              <w:rPr>
                <w:rFonts w:cs="Times New Roman"/>
                <w:b/>
                <w:bCs/>
                <w:color w:val="000000"/>
                <w:sz w:val="18"/>
                <w:szCs w:val="18"/>
              </w:rPr>
              <w:t>Subtotal (I)</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34 209,6</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27 532,2</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3 367,2</w:t>
            </w: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3 307,2</w:t>
            </w: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b/>
                <w:bCs/>
                <w:color w:val="000000"/>
                <w:kern w:val="22"/>
                <w:sz w:val="18"/>
                <w:szCs w:val="18"/>
              </w:rPr>
            </w:pPr>
            <w:r>
              <w:rPr>
                <w:rFonts w:cs="Times New Roman"/>
                <w:b/>
                <w:bCs/>
                <w:color w:val="000000"/>
                <w:sz w:val="18"/>
                <w:szCs w:val="18"/>
              </w:rPr>
              <w:t>II. Gastos de apoyo a los programas (13 %)</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4 447,2</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3 579,6</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437,7</w:t>
            </w: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429,9</w:t>
            </w: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b/>
                <w:bCs/>
                <w:color w:val="000000"/>
                <w:kern w:val="22"/>
                <w:sz w:val="18"/>
                <w:szCs w:val="18"/>
              </w:rPr>
            </w:pPr>
            <w:r>
              <w:rPr>
                <w:rFonts w:cs="Times New Roman"/>
                <w:b/>
                <w:bCs/>
                <w:color w:val="000000"/>
                <w:sz w:val="18"/>
                <w:szCs w:val="18"/>
              </w:rPr>
              <w:t>Subtotal (I + II)</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38 656,8</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31 114,8</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3 804,9</w:t>
            </w: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3 737,1</w:t>
            </w:r>
          </w:p>
        </w:tc>
      </w:tr>
      <w:tr w:rsidR="006E4F84">
        <w:trPr>
          <w:trHeight w:val="319"/>
        </w:trPr>
        <w:tc>
          <w:tcPr>
            <w:tcW w:w="4533" w:type="dxa"/>
            <w:tcBorders>
              <w:top w:val="nil"/>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b/>
                <w:bCs/>
                <w:color w:val="000000"/>
                <w:kern w:val="22"/>
                <w:sz w:val="18"/>
                <w:szCs w:val="18"/>
              </w:rPr>
            </w:pPr>
            <w:r>
              <w:rPr>
                <w:rFonts w:cs="Times New Roman"/>
                <w:b/>
                <w:bCs/>
                <w:color w:val="000000"/>
                <w:sz w:val="18"/>
                <w:szCs w:val="18"/>
              </w:rPr>
              <w:t>III. Reserva operacional</w:t>
            </w:r>
          </w:p>
        </w:tc>
        <w:tc>
          <w:tcPr>
            <w:tcW w:w="1106"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187,3</w:t>
            </w:r>
          </w:p>
        </w:tc>
        <w:tc>
          <w:tcPr>
            <w:tcW w:w="1545"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18"/>
                <w:szCs w:val="18"/>
              </w:rPr>
            </w:pPr>
            <w:r>
              <w:rPr>
                <w:rFonts w:cs="Times New Roman"/>
                <w:color w:val="000000"/>
                <w:sz w:val="18"/>
                <w:szCs w:val="18"/>
              </w:rPr>
              <w:t>187,3</w:t>
            </w:r>
          </w:p>
        </w:tc>
        <w:tc>
          <w:tcPr>
            <w:tcW w:w="1190"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p>
        </w:tc>
        <w:tc>
          <w:tcPr>
            <w:tcW w:w="986"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p>
        </w:tc>
      </w:tr>
      <w:tr w:rsidR="006E4F84">
        <w:trPr>
          <w:trHeight w:val="319"/>
        </w:trPr>
        <w:tc>
          <w:tcPr>
            <w:tcW w:w="4533" w:type="dxa"/>
            <w:tcBorders>
              <w:top w:val="single" w:sz="4" w:space="0" w:color="auto"/>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b/>
                <w:bCs/>
                <w:color w:val="000000"/>
                <w:kern w:val="22"/>
                <w:sz w:val="18"/>
                <w:szCs w:val="18"/>
              </w:rPr>
            </w:pPr>
            <w:r>
              <w:rPr>
                <w:rFonts w:cs="Times New Roman"/>
                <w:b/>
                <w:bCs/>
                <w:color w:val="000000"/>
                <w:sz w:val="18"/>
                <w:szCs w:val="18"/>
              </w:rPr>
              <w:t>Total general (I + II + III)</w:t>
            </w:r>
          </w:p>
        </w:tc>
        <w:tc>
          <w:tcPr>
            <w:tcW w:w="1106" w:type="dxa"/>
            <w:tcBorders>
              <w:top w:val="single" w:sz="4" w:space="0" w:color="auto"/>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38 844,1</w:t>
            </w:r>
          </w:p>
        </w:tc>
        <w:tc>
          <w:tcPr>
            <w:tcW w:w="1545"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31 302,1</w:t>
            </w:r>
          </w:p>
        </w:tc>
        <w:tc>
          <w:tcPr>
            <w:tcW w:w="1190"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3 804,9</w:t>
            </w:r>
          </w:p>
        </w:tc>
        <w:tc>
          <w:tcPr>
            <w:tcW w:w="986"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3 737,1</w:t>
            </w:r>
          </w:p>
        </w:tc>
      </w:tr>
      <w:tr w:rsidR="006E4F84">
        <w:trPr>
          <w:trHeight w:val="319"/>
        </w:trPr>
        <w:tc>
          <w:tcPr>
            <w:tcW w:w="4533" w:type="dxa"/>
            <w:tcBorders>
              <w:top w:val="single" w:sz="4" w:space="0" w:color="auto"/>
              <w:left w:val="single" w:sz="4" w:space="0" w:color="auto"/>
              <w:bottom w:val="single" w:sz="4" w:space="0" w:color="auto"/>
              <w:right w:val="nil"/>
            </w:tcBorders>
            <w:vAlign w:val="center"/>
          </w:tcPr>
          <w:p w:rsidR="006E4F84" w:rsidRDefault="006E4F84">
            <w:pPr>
              <w:suppressLineNumbers/>
              <w:suppressAutoHyphens/>
              <w:kinsoku w:val="0"/>
              <w:overflowPunct w:val="0"/>
              <w:autoSpaceDE w:val="0"/>
              <w:autoSpaceDN w:val="0"/>
              <w:rPr>
                <w:rFonts w:cs="Times New Roman"/>
                <w:b/>
                <w:bCs/>
                <w:color w:val="000000"/>
                <w:kern w:val="22"/>
                <w:sz w:val="18"/>
                <w:szCs w:val="18"/>
              </w:rPr>
            </w:pPr>
            <w:r>
              <w:rPr>
                <w:rFonts w:cs="Times New Roman"/>
                <w:b/>
                <w:bCs/>
                <w:color w:val="000000"/>
                <w:sz w:val="18"/>
                <w:szCs w:val="18"/>
              </w:rPr>
              <w:t>Proporción del Convenio (74 %)</w:t>
            </w:r>
          </w:p>
        </w:tc>
        <w:tc>
          <w:tcPr>
            <w:tcW w:w="1106" w:type="dxa"/>
            <w:tcBorders>
              <w:top w:val="single" w:sz="4" w:space="0" w:color="auto"/>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p>
        </w:tc>
        <w:tc>
          <w:tcPr>
            <w:tcW w:w="1545"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p>
        </w:tc>
        <w:tc>
          <w:tcPr>
            <w:tcW w:w="1190"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r>
              <w:rPr>
                <w:rFonts w:cs="Times New Roman"/>
                <w:b/>
                <w:bCs/>
                <w:color w:val="000000"/>
                <w:sz w:val="18"/>
                <w:szCs w:val="18"/>
              </w:rPr>
              <w:t>2 815,6</w:t>
            </w:r>
          </w:p>
        </w:tc>
        <w:tc>
          <w:tcPr>
            <w:tcW w:w="986"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18"/>
                <w:szCs w:val="18"/>
              </w:rPr>
            </w:pPr>
          </w:p>
        </w:tc>
      </w:tr>
      <w:bookmarkEnd w:id="7"/>
    </w:tbl>
    <w:p w:rsidR="006E4F84" w:rsidRDefault="006E4F84">
      <w:pPr>
        <w:suppressLineNumbers/>
        <w:suppressAutoHyphens/>
        <w:kinsoku w:val="0"/>
        <w:overflowPunct w:val="0"/>
        <w:autoSpaceDE w:val="0"/>
        <w:autoSpaceDN w:val="0"/>
        <w:rPr>
          <w:rFonts w:cs="Times New Roman"/>
          <w:kern w:val="22"/>
          <w:sz w:val="16"/>
          <w:szCs w:val="16"/>
        </w:rPr>
      </w:pPr>
    </w:p>
    <w:p w:rsidR="006E4F84" w:rsidRDefault="006E4F84">
      <w:pPr>
        <w:suppressLineNumbers/>
        <w:suppressAutoHyphens/>
        <w:kinsoku w:val="0"/>
        <w:overflowPunct w:val="0"/>
        <w:autoSpaceDE w:val="0"/>
        <w:autoSpaceDN w:val="0"/>
        <w:rPr>
          <w:rFonts w:cs="Times New Roman"/>
          <w:kern w:val="22"/>
          <w:sz w:val="16"/>
          <w:szCs w:val="16"/>
        </w:rPr>
      </w:pPr>
      <w:bookmarkStart w:id="8" w:name="_Hlk55478532"/>
      <w:r>
        <w:rPr>
          <w:rFonts w:cs="Times New Roman"/>
          <w:sz w:val="16"/>
          <w:szCs w:val="16"/>
        </w:rPr>
        <w:t>1 Reuniones que se financiarán con los saldos arrastrados:</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- 24ª reunión del Órgano Subsidiario de Asesoramiento Científico, Técnico y Tecnológico</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- 3ª reunión del Órgano Subsidiario sobre la Aplicación</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- 15ª reunión de la Conferencia de las Partes en el Convenio/10ª reunión de las Partes en el Protocolo de Cartagena/4ª reunión de las Partes en el Protocolo de Nagoya, celebradas concurrentemente</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Sesiones virtuales especiales para la OSACTT-24 y la OSA-3 (septiembre de 2020)</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Reunión virtual oficiosa previa al período de sesiones, de dos días de duración</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Reunión virtual previa al período de sesiones, de seis días de duración, para la OSACTT-24</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Reunión virtual previa al período de sesiones, de seis días de duración, para la OSA-3</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Y cualesquiera otras reuniones adicionales previas al período de sesiones para el OSACTT y el OSA sobre las que pueda decidirse</w:t>
      </w:r>
    </w:p>
    <w:p w:rsidR="006E4F84" w:rsidRDefault="006E4F84">
      <w:pPr>
        <w:suppressLineNumbers/>
        <w:suppressAutoHyphens/>
        <w:kinsoku w:val="0"/>
        <w:overflowPunct w:val="0"/>
        <w:autoSpaceDE w:val="0"/>
        <w:autoSpaceDN w:val="0"/>
        <w:rPr>
          <w:rFonts w:cs="Times New Roman"/>
          <w:kern w:val="22"/>
          <w:sz w:val="16"/>
          <w:szCs w:val="16"/>
        </w:rPr>
      </w:pP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color w:val="000000"/>
          <w:sz w:val="16"/>
          <w:szCs w:val="16"/>
        </w:rPr>
        <w:t>2 Una reunión extraordinaria sobre el marco mundial de la diversidad biológica posterior a 2020 que se ha de financiar con el saldo arrastrado que se indica en el renglón K.</w:t>
      </w:r>
    </w:p>
    <w:bookmarkEnd w:id="8"/>
    <w:p w:rsidR="006E4F84" w:rsidRDefault="006E4F84">
      <w:pPr>
        <w:suppressLineNumbers/>
        <w:suppressAutoHyphens/>
        <w:kinsoku w:val="0"/>
        <w:overflowPunct w:val="0"/>
        <w:autoSpaceDE w:val="0"/>
        <w:autoSpaceDN w:val="0"/>
        <w:rPr>
          <w:rFonts w:cs="Times New Roman"/>
          <w:kern w:val="22"/>
          <w:sz w:val="22"/>
          <w:szCs w:val="22"/>
        </w:rPr>
      </w:pPr>
    </w:p>
    <w:p w:rsidR="006E4F84" w:rsidRDefault="006E4F84">
      <w:pPr>
        <w:rPr>
          <w:rFonts w:cs="Times New Roman"/>
          <w:kern w:val="22"/>
          <w:sz w:val="22"/>
          <w:szCs w:val="22"/>
        </w:rPr>
      </w:pPr>
      <w:r>
        <w:rPr>
          <w:rFonts w:cs="Times New Roman"/>
          <w:kern w:val="22"/>
          <w:sz w:val="22"/>
          <w:szCs w:val="22"/>
        </w:rPr>
        <w:br w:type="page"/>
      </w:r>
    </w:p>
    <w:p w:rsidR="006E4F84" w:rsidRDefault="006E4F84">
      <w:pPr>
        <w:suppressLineNumbers/>
        <w:suppressAutoHyphens/>
        <w:kinsoku w:val="0"/>
        <w:overflowPunct w:val="0"/>
        <w:autoSpaceDE w:val="0"/>
        <w:autoSpaceDN w:val="0"/>
        <w:rPr>
          <w:rFonts w:cs="Times New Roman"/>
          <w:kern w:val="22"/>
          <w:sz w:val="22"/>
          <w:szCs w:val="22"/>
        </w:rPr>
      </w:pPr>
    </w:p>
    <w:tbl>
      <w:tblPr>
        <w:tblW w:w="9777" w:type="dxa"/>
        <w:tblInd w:w="-106" w:type="dxa"/>
        <w:tblLook w:val="0000"/>
      </w:tblPr>
      <w:tblGrid>
        <w:gridCol w:w="6014"/>
        <w:gridCol w:w="3763"/>
      </w:tblGrid>
      <w:tr w:rsidR="006E4F84">
        <w:trPr>
          <w:trHeight w:val="397"/>
        </w:trPr>
        <w:tc>
          <w:tcPr>
            <w:tcW w:w="9777" w:type="dxa"/>
            <w:gridSpan w:val="2"/>
            <w:tcBorders>
              <w:top w:val="nil"/>
              <w:left w:val="nil"/>
              <w:bottom w:val="single" w:sz="4" w:space="0" w:color="auto"/>
              <w:right w:val="nil"/>
            </w:tcBorders>
            <w:vAlign w:val="center"/>
          </w:tcPr>
          <w:p w:rsidR="006E4F84" w:rsidRDefault="006E4F84">
            <w:pPr>
              <w:keepNext/>
              <w:keepLines/>
              <w:suppressLineNumbers/>
              <w:suppressAutoHyphens/>
              <w:kinsoku w:val="0"/>
              <w:overflowPunct w:val="0"/>
              <w:autoSpaceDE w:val="0"/>
              <w:autoSpaceDN w:val="0"/>
              <w:rPr>
                <w:rFonts w:cs="Times New Roman"/>
                <w:b/>
                <w:bCs/>
                <w:kern w:val="22"/>
                <w:sz w:val="22"/>
                <w:szCs w:val="22"/>
              </w:rPr>
            </w:pPr>
            <w:bookmarkStart w:id="9" w:name="_Hlk55478548"/>
            <w:r>
              <w:rPr>
                <w:rFonts w:cs="Times New Roman"/>
                <w:b/>
                <w:bCs/>
                <w:sz w:val="22"/>
                <w:szCs w:val="22"/>
              </w:rPr>
              <w:t>Cuadro 2a</w:t>
            </w:r>
          </w:p>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Presupuesto integrado provisional para los Fondos Fiduciarios del Convenio sobre la Diversidad Biológica y sus Protocolos para 2021</w:t>
            </w:r>
          </w:p>
        </w:tc>
      </w:tr>
      <w:tr w:rsidR="006E4F84">
        <w:trPr>
          <w:trHeight w:val="426"/>
        </w:trPr>
        <w:tc>
          <w:tcPr>
            <w:tcW w:w="6014" w:type="dxa"/>
            <w:tcBorders>
              <w:top w:val="nil"/>
              <w:left w:val="single" w:sz="4" w:space="0" w:color="auto"/>
              <w:bottom w:val="single" w:sz="4" w:space="0" w:color="auto"/>
              <w:right w:val="single" w:sz="4" w:space="0" w:color="auto"/>
            </w:tcBorders>
            <w:vAlign w:val="center"/>
          </w:tcPr>
          <w:p w:rsidR="006E4F84" w:rsidRDefault="006E4F84">
            <w:pPr>
              <w:keepNext/>
              <w:keepLines/>
              <w:suppressLineNumbers/>
              <w:suppressAutoHyphens/>
              <w:kinsoku w:val="0"/>
              <w:overflowPunct w:val="0"/>
              <w:autoSpaceDE w:val="0"/>
              <w:autoSpaceDN w:val="0"/>
              <w:jc w:val="center"/>
              <w:rPr>
                <w:rFonts w:cs="Times New Roman"/>
                <w:i/>
                <w:iCs/>
                <w:color w:val="000000"/>
                <w:kern w:val="22"/>
                <w:sz w:val="20"/>
                <w:szCs w:val="20"/>
              </w:rPr>
            </w:pPr>
            <w:r>
              <w:rPr>
                <w:rFonts w:cs="Times New Roman"/>
                <w:i/>
                <w:iCs/>
                <w:color w:val="000000"/>
                <w:sz w:val="20"/>
                <w:szCs w:val="20"/>
              </w:rPr>
              <w:t>Objeto de gastos</w:t>
            </w:r>
          </w:p>
        </w:tc>
        <w:tc>
          <w:tcPr>
            <w:tcW w:w="3763" w:type="dxa"/>
            <w:tcBorders>
              <w:top w:val="nil"/>
              <w:left w:val="nil"/>
              <w:bottom w:val="single" w:sz="4" w:space="0" w:color="auto"/>
              <w:right w:val="single" w:sz="4" w:space="0" w:color="auto"/>
            </w:tcBorders>
            <w:vAlign w:val="center"/>
          </w:tcPr>
          <w:p w:rsidR="006E4F84" w:rsidRDefault="006E4F84">
            <w:pPr>
              <w:keepNext/>
              <w:keepLines/>
              <w:suppressLineNumbers/>
              <w:suppressAutoHyphens/>
              <w:kinsoku w:val="0"/>
              <w:overflowPunct w:val="0"/>
              <w:autoSpaceDE w:val="0"/>
              <w:autoSpaceDN w:val="0"/>
              <w:jc w:val="center"/>
              <w:rPr>
                <w:rFonts w:cs="Times New Roman"/>
                <w:i/>
                <w:iCs/>
                <w:color w:val="000000"/>
                <w:kern w:val="22"/>
                <w:sz w:val="16"/>
                <w:szCs w:val="16"/>
              </w:rPr>
            </w:pPr>
            <w:r>
              <w:rPr>
                <w:rFonts w:cs="Times New Roman"/>
                <w:i/>
                <w:iCs/>
                <w:color w:val="000000"/>
                <w:sz w:val="20"/>
                <w:szCs w:val="20"/>
              </w:rPr>
              <w:t>2021</w:t>
            </w:r>
          </w:p>
          <w:p w:rsidR="006E4F84" w:rsidRDefault="006E4F84">
            <w:pPr>
              <w:keepNext/>
              <w:keepLines/>
              <w:suppressLineNumbers/>
              <w:suppressAutoHyphens/>
              <w:kinsoku w:val="0"/>
              <w:overflowPunct w:val="0"/>
              <w:autoSpaceDE w:val="0"/>
              <w:autoSpaceDN w:val="0"/>
              <w:jc w:val="center"/>
              <w:rPr>
                <w:rFonts w:cs="Times New Roman"/>
                <w:i/>
                <w:iCs/>
                <w:color w:val="000000"/>
                <w:kern w:val="22"/>
                <w:sz w:val="20"/>
                <w:szCs w:val="20"/>
              </w:rPr>
            </w:pPr>
            <w:r>
              <w:rPr>
                <w:rFonts w:cs="Times New Roman"/>
                <w:i/>
                <w:iCs/>
                <w:color w:val="000000"/>
                <w:sz w:val="16"/>
                <w:szCs w:val="16"/>
              </w:rPr>
              <w:t>(Miles de dólares de los Estados Unidos)</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keepNext/>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A. Gastos de personal</w:t>
            </w:r>
          </w:p>
        </w:tc>
        <w:tc>
          <w:tcPr>
            <w:tcW w:w="3763" w:type="dxa"/>
            <w:tcBorders>
              <w:top w:val="nil"/>
              <w:left w:val="nil"/>
              <w:bottom w:val="single" w:sz="4" w:space="0" w:color="auto"/>
              <w:right w:val="single" w:sz="4" w:space="0" w:color="auto"/>
            </w:tcBorders>
            <w:noWrap/>
            <w:vAlign w:val="center"/>
          </w:tcPr>
          <w:p w:rsidR="006E4F84" w:rsidRDefault="006E4F84">
            <w:pPr>
              <w:keepNext/>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11 936,80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keepNext/>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B. Reuniones de la Mesa</w:t>
            </w:r>
          </w:p>
        </w:tc>
        <w:tc>
          <w:tcPr>
            <w:tcW w:w="3763" w:type="dxa"/>
            <w:tcBorders>
              <w:top w:val="nil"/>
              <w:left w:val="nil"/>
              <w:bottom w:val="single" w:sz="4" w:space="0" w:color="auto"/>
              <w:right w:val="single" w:sz="4" w:space="0" w:color="auto"/>
            </w:tcBorders>
            <w:noWrap/>
            <w:vAlign w:val="center"/>
          </w:tcPr>
          <w:p w:rsidR="006E4F84" w:rsidRDefault="006E4F84">
            <w:pPr>
              <w:keepNext/>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0,00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C. Viajes en comisión de servicio</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275,00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D. Consultores/subcontratistas</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50,00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E. Materiales de sensibilización del público/Comunicaciones</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50,00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F. Personal temporario/horas extraordinarias</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100,00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G. Capacitación</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5,00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H. Traducción del sitio web del mecanismo de facilitación/proyectos de sitio web</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65,00</w:t>
            </w:r>
          </w:p>
        </w:tc>
      </w:tr>
      <w:tr w:rsidR="006E4F84">
        <w:trPr>
          <w:trHeight w:val="271"/>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I. Reuniones</w:t>
            </w:r>
            <w:r>
              <w:rPr>
                <w:rFonts w:cs="Times New Roman"/>
                <w:color w:val="000000"/>
                <w:sz w:val="18"/>
                <w:szCs w:val="18"/>
                <w:vertAlign w:val="superscript"/>
              </w:rPr>
              <w:t>1</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271,80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J. Reuniones de expertos</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0,00</w:t>
            </w:r>
          </w:p>
        </w:tc>
      </w:tr>
      <w:tr w:rsidR="006E4F84">
        <w:trPr>
          <w:trHeight w:val="31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K. Reuniones extraordinarias sobre el período posterior a 2020</w:t>
            </w:r>
            <w:r>
              <w:rPr>
                <w:rFonts w:cs="Times New Roman"/>
                <w:color w:val="000000"/>
                <w:sz w:val="20"/>
                <w:szCs w:val="20"/>
                <w:vertAlign w:val="superscript"/>
              </w:rPr>
              <w:t>2</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350,00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L. Alquiler y gastos relacionados</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1 358,20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M. Gastos generales de funcionamiento</w:t>
            </w:r>
          </w:p>
        </w:tc>
        <w:tc>
          <w:tcPr>
            <w:tcW w:w="3763"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726,60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b/>
                <w:bCs/>
                <w:color w:val="000000"/>
                <w:kern w:val="22"/>
                <w:sz w:val="20"/>
                <w:szCs w:val="20"/>
              </w:rPr>
            </w:pPr>
            <w:r>
              <w:rPr>
                <w:rFonts w:cs="Times New Roman"/>
                <w:b/>
                <w:bCs/>
                <w:color w:val="000000"/>
                <w:sz w:val="20"/>
                <w:szCs w:val="20"/>
              </w:rPr>
              <w:t>Subtotal (I)</w:t>
            </w:r>
          </w:p>
        </w:tc>
        <w:tc>
          <w:tcPr>
            <w:tcW w:w="3763"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20"/>
                <w:szCs w:val="20"/>
              </w:rPr>
            </w:pPr>
            <w:r>
              <w:rPr>
                <w:rFonts w:cs="Times New Roman"/>
                <w:b/>
                <w:bCs/>
                <w:color w:val="000000"/>
                <w:sz w:val="20"/>
                <w:szCs w:val="20"/>
              </w:rPr>
              <w:t>15 188,40</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b/>
                <w:bCs/>
                <w:color w:val="000000"/>
                <w:kern w:val="22"/>
                <w:sz w:val="20"/>
                <w:szCs w:val="20"/>
              </w:rPr>
            </w:pPr>
            <w:r>
              <w:rPr>
                <w:rFonts w:cs="Times New Roman"/>
                <w:b/>
                <w:bCs/>
                <w:color w:val="000000"/>
                <w:sz w:val="20"/>
                <w:szCs w:val="20"/>
              </w:rPr>
              <w:t>II. Gastos de apoyo a los programas (13 %)</w:t>
            </w:r>
          </w:p>
        </w:tc>
        <w:tc>
          <w:tcPr>
            <w:tcW w:w="3763"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1 974,49</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b/>
                <w:bCs/>
                <w:color w:val="000000"/>
                <w:kern w:val="22"/>
                <w:sz w:val="20"/>
                <w:szCs w:val="20"/>
              </w:rPr>
            </w:pPr>
            <w:r>
              <w:rPr>
                <w:rFonts w:cs="Times New Roman"/>
                <w:b/>
                <w:bCs/>
                <w:color w:val="000000"/>
                <w:sz w:val="20"/>
                <w:szCs w:val="20"/>
              </w:rPr>
              <w:t>Subtotal (I + II)</w:t>
            </w:r>
          </w:p>
        </w:tc>
        <w:tc>
          <w:tcPr>
            <w:tcW w:w="3763"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20"/>
                <w:szCs w:val="20"/>
              </w:rPr>
            </w:pPr>
            <w:r>
              <w:rPr>
                <w:rFonts w:cs="Times New Roman"/>
                <w:b/>
                <w:bCs/>
                <w:color w:val="000000"/>
                <w:sz w:val="20"/>
                <w:szCs w:val="20"/>
              </w:rPr>
              <w:t>17 162,89</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b/>
                <w:bCs/>
                <w:color w:val="000000"/>
                <w:kern w:val="22"/>
                <w:sz w:val="20"/>
                <w:szCs w:val="20"/>
              </w:rPr>
            </w:pPr>
            <w:r>
              <w:rPr>
                <w:rFonts w:cs="Times New Roman"/>
                <w:b/>
                <w:bCs/>
                <w:color w:val="000000"/>
                <w:sz w:val="20"/>
                <w:szCs w:val="20"/>
              </w:rPr>
              <w:t>III. Reserva operacional</w:t>
            </w:r>
          </w:p>
        </w:tc>
        <w:tc>
          <w:tcPr>
            <w:tcW w:w="3763"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kern w:val="22"/>
                <w:sz w:val="20"/>
                <w:szCs w:val="20"/>
              </w:rPr>
            </w:pPr>
            <w:r>
              <w:rPr>
                <w:rFonts w:cs="Times New Roman"/>
                <w:b/>
                <w:bCs/>
                <w:sz w:val="20"/>
                <w:szCs w:val="20"/>
              </w:rPr>
              <w:t>(390,27)</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b/>
                <w:bCs/>
                <w:color w:val="000000"/>
                <w:kern w:val="22"/>
                <w:sz w:val="20"/>
                <w:szCs w:val="20"/>
              </w:rPr>
            </w:pPr>
            <w:r>
              <w:rPr>
                <w:rFonts w:cs="Times New Roman"/>
                <w:b/>
                <w:bCs/>
                <w:color w:val="000000"/>
                <w:sz w:val="20"/>
                <w:szCs w:val="20"/>
              </w:rPr>
              <w:t>Total general (II + III)</w:t>
            </w:r>
          </w:p>
        </w:tc>
        <w:tc>
          <w:tcPr>
            <w:tcW w:w="3763"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20"/>
                <w:szCs w:val="20"/>
              </w:rPr>
            </w:pPr>
            <w:r>
              <w:rPr>
                <w:rFonts w:cs="Times New Roman"/>
                <w:b/>
                <w:bCs/>
                <w:color w:val="000000"/>
                <w:sz w:val="20"/>
                <w:szCs w:val="20"/>
              </w:rPr>
              <w:t>16 772,63</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Proporción del presupuesto provisional correspondiente al Convenio (74 %)</w:t>
            </w:r>
          </w:p>
        </w:tc>
        <w:tc>
          <w:tcPr>
            <w:tcW w:w="3763"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12 411,74</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Menos:  Contribución del país anfitrión</w:t>
            </w:r>
          </w:p>
        </w:tc>
        <w:tc>
          <w:tcPr>
            <w:tcW w:w="3763"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(1 135,75)</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r>
              <w:rPr>
                <w:rFonts w:cs="Times New Roman"/>
                <w:color w:val="000000"/>
                <w:sz w:val="20"/>
                <w:szCs w:val="20"/>
              </w:rPr>
              <w:t>Menos: Empleo de fondos de reserva para reuniones extraordinarias</w:t>
            </w:r>
          </w:p>
        </w:tc>
        <w:tc>
          <w:tcPr>
            <w:tcW w:w="3763"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r>
              <w:rPr>
                <w:rFonts w:cs="Times New Roman"/>
                <w:color w:val="000000"/>
                <w:sz w:val="20"/>
                <w:szCs w:val="20"/>
              </w:rPr>
              <w:t>(292,67)</w:t>
            </w:r>
          </w:p>
        </w:tc>
      </w:tr>
      <w:tr w:rsidR="006E4F84">
        <w:trPr>
          <w:trHeight w:val="256"/>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b/>
                <w:bCs/>
                <w:color w:val="000000"/>
                <w:kern w:val="22"/>
                <w:sz w:val="20"/>
                <w:szCs w:val="20"/>
              </w:rPr>
            </w:pPr>
            <w:r>
              <w:rPr>
                <w:rFonts w:cs="Times New Roman"/>
                <w:b/>
                <w:bCs/>
                <w:color w:val="000000"/>
                <w:sz w:val="20"/>
                <w:szCs w:val="20"/>
              </w:rPr>
              <w:t>Total neto (monto dividido entre las Partes)</w:t>
            </w:r>
          </w:p>
        </w:tc>
        <w:tc>
          <w:tcPr>
            <w:tcW w:w="3763"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20"/>
                <w:szCs w:val="20"/>
              </w:rPr>
            </w:pPr>
            <w:r>
              <w:rPr>
                <w:rFonts w:cs="Times New Roman"/>
                <w:b/>
                <w:bCs/>
                <w:color w:val="000000"/>
                <w:sz w:val="20"/>
                <w:szCs w:val="20"/>
              </w:rPr>
              <w:t>10 983,32</w:t>
            </w:r>
          </w:p>
        </w:tc>
      </w:tr>
      <w:tr w:rsidR="006E4F84">
        <w:trPr>
          <w:trHeight w:val="70"/>
        </w:trPr>
        <w:tc>
          <w:tcPr>
            <w:tcW w:w="6014"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0"/>
                <w:szCs w:val="20"/>
              </w:rPr>
            </w:pPr>
          </w:p>
        </w:tc>
        <w:tc>
          <w:tcPr>
            <w:tcW w:w="3763"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0"/>
                <w:szCs w:val="20"/>
              </w:rPr>
            </w:pPr>
          </w:p>
        </w:tc>
      </w:tr>
    </w:tbl>
    <w:p w:rsidR="006E4F84" w:rsidRDefault="006E4F84">
      <w:pPr>
        <w:suppressLineNumbers/>
        <w:suppressAutoHyphens/>
        <w:kinsoku w:val="0"/>
        <w:overflowPunct w:val="0"/>
        <w:autoSpaceDE w:val="0"/>
        <w:autoSpaceDN w:val="0"/>
        <w:spacing w:before="120"/>
        <w:rPr>
          <w:rFonts w:cs="Times New Roman"/>
          <w:kern w:val="22"/>
          <w:sz w:val="16"/>
          <w:szCs w:val="16"/>
        </w:rPr>
      </w:pPr>
      <w:bookmarkStart w:id="10" w:name="_Hlk55478568"/>
      <w:bookmarkEnd w:id="9"/>
      <w:r>
        <w:rPr>
          <w:rFonts w:cs="Times New Roman"/>
          <w:sz w:val="16"/>
          <w:szCs w:val="16"/>
        </w:rPr>
        <w:t>1 Reuniones que se financiarán con cargo al presupuesto provisional para 2021 para complementar los saldos arrastrados con arreglo al Cuadro 1 anterior:</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- 24ª reunión del Órgano Subsidiario de Asesoramiento Científico, Técnico y Tecnológico</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- 3ª reunión del Órgano Subsidiario sobre la Aplicación</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- 15ª reunión de la Conferencia de las Partes en el Convenio/10ª reunión de las Partes en el Protocolo de Cartagena/4ª reunión de las Partes en el Protocolo de Nagoya, celebradas concurrentemente</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Sesiones virtuales especiales para la OSACTT-24 y la OSA-3 (septiembre de 2020)</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Reunión virtual oficiosa previa al período de sesiones, de dos días de duración</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Reunión virtual previa al período de sesiones, de seis días de duración, para la OSACTT-24</w:t>
      </w:r>
    </w:p>
    <w:p w:rsidR="006E4F84" w:rsidRDefault="006E4F84">
      <w:pPr>
        <w:suppressLineNumbers/>
        <w:suppressAutoHyphens/>
        <w:kinsoku w:val="0"/>
        <w:overflowPunct w:val="0"/>
        <w:autoSpaceDE w:val="0"/>
        <w:autoSpaceDN w:val="0"/>
        <w:rPr>
          <w:rFonts w:cs="Times New Roman"/>
          <w:kern w:val="22"/>
          <w:sz w:val="16"/>
          <w:szCs w:val="16"/>
        </w:rPr>
      </w:pPr>
      <w:bookmarkStart w:id="11" w:name="_Hlk55554076"/>
      <w:r>
        <w:rPr>
          <w:rFonts w:cs="Times New Roman"/>
          <w:sz w:val="16"/>
          <w:szCs w:val="16"/>
        </w:rPr>
        <w:t>- Reunión virtual previa al período de sesiones, de seis días de duración, para la OSA-3</w:t>
      </w: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sz w:val="16"/>
          <w:szCs w:val="16"/>
        </w:rPr>
        <w:t>- Y cualesquiera otras reuniones adicionales previas al período de sesiones para el OSACTT y el OSA sobre las que pueda decidirse</w:t>
      </w:r>
    </w:p>
    <w:bookmarkEnd w:id="11"/>
    <w:p w:rsidR="006E4F84" w:rsidRDefault="006E4F84">
      <w:pPr>
        <w:suppressLineNumbers/>
        <w:suppressAutoHyphens/>
        <w:kinsoku w:val="0"/>
        <w:overflowPunct w:val="0"/>
        <w:autoSpaceDE w:val="0"/>
        <w:autoSpaceDN w:val="0"/>
        <w:rPr>
          <w:rFonts w:cs="Times New Roman"/>
          <w:kern w:val="22"/>
          <w:sz w:val="16"/>
          <w:szCs w:val="16"/>
        </w:rPr>
      </w:pPr>
    </w:p>
    <w:p w:rsidR="006E4F84" w:rsidRDefault="006E4F84">
      <w:pPr>
        <w:suppressLineNumbers/>
        <w:suppressAutoHyphens/>
        <w:kinsoku w:val="0"/>
        <w:overflowPunct w:val="0"/>
        <w:autoSpaceDE w:val="0"/>
        <w:autoSpaceDN w:val="0"/>
        <w:rPr>
          <w:rFonts w:cs="Times New Roman"/>
          <w:kern w:val="22"/>
          <w:sz w:val="16"/>
          <w:szCs w:val="16"/>
        </w:rPr>
      </w:pPr>
      <w:r>
        <w:rPr>
          <w:rFonts w:cs="Times New Roman"/>
          <w:color w:val="000000"/>
          <w:sz w:val="16"/>
          <w:szCs w:val="16"/>
        </w:rPr>
        <w:t>2 Una reunión extraordinaria sobre el marco mundial de la diversidad biológica posterior a 2020.</w:t>
      </w:r>
    </w:p>
    <w:bookmarkEnd w:id="10"/>
    <w:p w:rsidR="006E4F84" w:rsidRDefault="006E4F84">
      <w:pPr>
        <w:suppressLineNumbers/>
        <w:suppressAutoHyphens/>
        <w:kinsoku w:val="0"/>
        <w:overflowPunct w:val="0"/>
        <w:autoSpaceDE w:val="0"/>
        <w:autoSpaceDN w:val="0"/>
        <w:spacing w:before="120" w:after="120"/>
        <w:rPr>
          <w:rFonts w:cs="Times New Roman"/>
          <w:kern w:val="22"/>
          <w:sz w:val="22"/>
          <w:szCs w:val="22"/>
        </w:rPr>
      </w:pPr>
    </w:p>
    <w:p w:rsidR="006E4F84" w:rsidRDefault="006E4F84">
      <w:pPr>
        <w:keepNext/>
        <w:keepLines/>
        <w:suppressLineNumbers/>
        <w:suppressAutoHyphens/>
        <w:kinsoku w:val="0"/>
        <w:overflowPunct w:val="0"/>
        <w:autoSpaceDE w:val="0"/>
        <w:autoSpaceDN w:val="0"/>
        <w:spacing w:before="240" w:after="120"/>
        <w:ind w:left="851"/>
        <w:rPr>
          <w:rFonts w:cs="Times New Roman"/>
          <w:kern w:val="22"/>
          <w:sz w:val="22"/>
          <w:szCs w:val="22"/>
        </w:rPr>
      </w:pPr>
      <w:bookmarkStart w:id="12" w:name="_Hlk55553031"/>
      <w:r>
        <w:rPr>
          <w:rFonts w:cs="Times New Roman"/>
          <w:b/>
          <w:bCs/>
          <w:sz w:val="22"/>
          <w:szCs w:val="22"/>
        </w:rPr>
        <w:t>Cuadro 2b</w:t>
      </w:r>
      <w:r>
        <w:rPr>
          <w:rFonts w:cs="Times New Roman"/>
          <w:b/>
          <w:bCs/>
          <w:sz w:val="22"/>
          <w:szCs w:val="22"/>
        </w:rPr>
        <w:br/>
        <w:t>Necesidades de recursos de los presupuestos básicos integrados para el año 2021, por división</w:t>
      </w:r>
      <w:r>
        <w:rPr>
          <w:rFonts w:cs="Times New Roman"/>
          <w:b/>
          <w:bCs/>
          <w:sz w:val="22"/>
          <w:szCs w:val="22"/>
        </w:rPr>
        <w:br/>
      </w:r>
      <w:r>
        <w:rPr>
          <w:rFonts w:cs="Times New Roman"/>
          <w:i/>
          <w:iCs/>
          <w:color w:val="000000"/>
          <w:sz w:val="22"/>
          <w:szCs w:val="22"/>
        </w:rPr>
        <w:t>(Miles de dólares de los Estados Unidos)</w:t>
      </w:r>
    </w:p>
    <w:tbl>
      <w:tblPr>
        <w:tblW w:w="6160" w:type="dxa"/>
        <w:jc w:val="center"/>
        <w:tblLook w:val="0000"/>
      </w:tblPr>
      <w:tblGrid>
        <w:gridCol w:w="4520"/>
        <w:gridCol w:w="1640"/>
      </w:tblGrid>
      <w:tr w:rsidR="006E4F84">
        <w:trPr>
          <w:cantSplit/>
          <w:jc w:val="center"/>
        </w:trPr>
        <w:tc>
          <w:tcPr>
            <w:tcW w:w="4520" w:type="dxa"/>
            <w:tcBorders>
              <w:top w:val="single" w:sz="12" w:space="0" w:color="auto"/>
              <w:left w:val="nil"/>
              <w:bottom w:val="single" w:sz="8" w:space="0" w:color="auto"/>
              <w:right w:val="nil"/>
            </w:tcBorders>
            <w:vAlign w:val="center"/>
          </w:tcPr>
          <w:p w:rsidR="006E4F84" w:rsidRDefault="006E4F84">
            <w:pPr>
              <w:keepNext/>
              <w:keepLines/>
              <w:suppressLineNumbers/>
              <w:suppressAutoHyphens/>
              <w:kinsoku w:val="0"/>
              <w:overflowPunct w:val="0"/>
              <w:autoSpaceDE w:val="0"/>
              <w:autoSpaceDN w:val="0"/>
              <w:rPr>
                <w:rFonts w:cs="Times New Roman"/>
                <w:i/>
                <w:iCs/>
                <w:color w:val="000000"/>
                <w:kern w:val="22"/>
                <w:sz w:val="22"/>
                <w:szCs w:val="22"/>
              </w:rPr>
            </w:pPr>
          </w:p>
        </w:tc>
        <w:tc>
          <w:tcPr>
            <w:tcW w:w="1640" w:type="dxa"/>
            <w:tcBorders>
              <w:top w:val="single" w:sz="12" w:space="0" w:color="auto"/>
              <w:left w:val="nil"/>
              <w:bottom w:val="nil"/>
              <w:right w:val="nil"/>
            </w:tcBorders>
            <w:vAlign w:val="center"/>
          </w:tcPr>
          <w:p w:rsidR="006E4F84" w:rsidRDefault="006E4F84">
            <w:pPr>
              <w:keepNext/>
              <w:keepLines/>
              <w:suppressLineNumbers/>
              <w:suppressAutoHyphens/>
              <w:kinsoku w:val="0"/>
              <w:overflowPunct w:val="0"/>
              <w:autoSpaceDE w:val="0"/>
              <w:autoSpaceDN w:val="0"/>
              <w:jc w:val="center"/>
              <w:rPr>
                <w:rFonts w:cs="Times New Roman"/>
                <w:i/>
                <w:iCs/>
                <w:color w:val="000000"/>
                <w:kern w:val="22"/>
                <w:sz w:val="22"/>
                <w:szCs w:val="22"/>
              </w:rPr>
            </w:pPr>
            <w:r>
              <w:rPr>
                <w:rFonts w:cs="Times New Roman"/>
                <w:i/>
                <w:iCs/>
                <w:color w:val="000000"/>
                <w:sz w:val="22"/>
                <w:szCs w:val="22"/>
              </w:rPr>
              <w:t>2021</w:t>
            </w:r>
          </w:p>
        </w:tc>
      </w:tr>
      <w:tr w:rsidR="006E4F84">
        <w:trPr>
          <w:cantSplit/>
          <w:jc w:val="center"/>
        </w:trPr>
        <w:tc>
          <w:tcPr>
            <w:tcW w:w="4520" w:type="dxa"/>
            <w:tcBorders>
              <w:top w:val="single" w:sz="8" w:space="0" w:color="auto"/>
              <w:left w:val="nil"/>
              <w:bottom w:val="nil"/>
              <w:right w:val="nil"/>
            </w:tcBorders>
          </w:tcPr>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I. Programas:</w:t>
            </w:r>
          </w:p>
        </w:tc>
        <w:tc>
          <w:tcPr>
            <w:tcW w:w="1640" w:type="dxa"/>
            <w:tcBorders>
              <w:top w:val="single" w:sz="8" w:space="0" w:color="auto"/>
              <w:left w:val="nil"/>
              <w:bottom w:val="nil"/>
              <w:right w:val="nil"/>
            </w:tcBorders>
            <w:vAlign w:val="center"/>
          </w:tcPr>
          <w:p w:rsidR="006E4F84" w:rsidRDefault="006E4F84">
            <w:pPr>
              <w:keepNext/>
              <w:keepLines/>
              <w:suppressLineNumbers/>
              <w:suppressAutoHyphens/>
              <w:kinsoku w:val="0"/>
              <w:overflowPunct w:val="0"/>
              <w:autoSpaceDE w:val="0"/>
              <w:autoSpaceDN w:val="0"/>
              <w:jc w:val="right"/>
              <w:rPr>
                <w:rFonts w:cs="Times New Roman"/>
                <w:color w:val="000000"/>
                <w:kern w:val="22"/>
                <w:sz w:val="22"/>
                <w:szCs w:val="22"/>
              </w:rPr>
            </w:pPr>
          </w:p>
        </w:tc>
      </w:tr>
      <w:tr w:rsidR="006E4F84">
        <w:trPr>
          <w:trHeight w:val="288"/>
          <w:jc w:val="center"/>
        </w:trPr>
        <w:tc>
          <w:tcPr>
            <w:tcW w:w="4520" w:type="dxa"/>
            <w:tcBorders>
              <w:top w:val="nil"/>
              <w:left w:val="nil"/>
              <w:bottom w:val="nil"/>
              <w:right w:val="nil"/>
            </w:tcBorders>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 xml:space="preserve">  Oficina de la Secretaria Ejecutiva</w:t>
            </w:r>
          </w:p>
        </w:tc>
        <w:tc>
          <w:tcPr>
            <w:tcW w:w="1640" w:type="dxa"/>
            <w:tcBorders>
              <w:top w:val="nil"/>
              <w:left w:val="nil"/>
              <w:bottom w:val="nil"/>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color w:val="000000"/>
                <w:sz w:val="22"/>
                <w:szCs w:val="22"/>
              </w:rPr>
              <w:t>2 404,4</w:t>
            </w:r>
          </w:p>
        </w:tc>
      </w:tr>
      <w:tr w:rsidR="006E4F84">
        <w:trPr>
          <w:trHeight w:val="288"/>
          <w:jc w:val="center"/>
        </w:trPr>
        <w:tc>
          <w:tcPr>
            <w:tcW w:w="4520" w:type="dxa"/>
            <w:tcBorders>
              <w:top w:val="nil"/>
              <w:left w:val="nil"/>
              <w:bottom w:val="nil"/>
              <w:right w:val="nil"/>
            </w:tcBorders>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 xml:space="preserve">  Protocolos de Cartagena y de Nagoya</w:t>
            </w:r>
          </w:p>
        </w:tc>
        <w:tc>
          <w:tcPr>
            <w:tcW w:w="1640" w:type="dxa"/>
            <w:tcBorders>
              <w:top w:val="nil"/>
              <w:left w:val="nil"/>
              <w:bottom w:val="nil"/>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color w:val="000000"/>
                <w:sz w:val="22"/>
                <w:szCs w:val="22"/>
              </w:rPr>
              <w:t>2 283,4</w:t>
            </w:r>
          </w:p>
        </w:tc>
      </w:tr>
      <w:tr w:rsidR="006E4F84">
        <w:trPr>
          <w:trHeight w:val="288"/>
          <w:jc w:val="center"/>
        </w:trPr>
        <w:tc>
          <w:tcPr>
            <w:tcW w:w="4520" w:type="dxa"/>
            <w:tcBorders>
              <w:top w:val="nil"/>
              <w:left w:val="nil"/>
              <w:bottom w:val="nil"/>
              <w:right w:val="nil"/>
            </w:tcBorders>
          </w:tcPr>
          <w:p w:rsidR="006E4F84" w:rsidRDefault="006E4F84">
            <w:pPr>
              <w:keepNext/>
              <w:keepLines/>
              <w:suppressLineNumbers/>
              <w:suppressAutoHyphens/>
              <w:kinsoku w:val="0"/>
              <w:overflowPunct w:val="0"/>
              <w:autoSpaceDE w:val="0"/>
              <w:autoSpaceDN w:val="0"/>
              <w:rPr>
                <w:rFonts w:cs="Times New Roman"/>
                <w:color w:val="000000"/>
                <w:spacing w:val="-6"/>
                <w:kern w:val="22"/>
                <w:sz w:val="22"/>
                <w:szCs w:val="22"/>
              </w:rPr>
            </w:pPr>
            <w:r>
              <w:rPr>
                <w:rFonts w:cs="Times New Roman"/>
                <w:color w:val="000000"/>
                <w:sz w:val="22"/>
                <w:szCs w:val="22"/>
              </w:rPr>
              <w:t xml:space="preserve">  División de Ciencia, Sociedad y Futuros Sostenibles</w:t>
            </w:r>
          </w:p>
        </w:tc>
        <w:tc>
          <w:tcPr>
            <w:tcW w:w="1640" w:type="dxa"/>
            <w:tcBorders>
              <w:top w:val="nil"/>
              <w:left w:val="nil"/>
              <w:bottom w:val="nil"/>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color w:val="000000"/>
                <w:sz w:val="22"/>
                <w:szCs w:val="22"/>
              </w:rPr>
              <w:t>3 316,75</w:t>
            </w:r>
          </w:p>
        </w:tc>
      </w:tr>
      <w:tr w:rsidR="006E4F84">
        <w:trPr>
          <w:trHeight w:val="300"/>
          <w:jc w:val="center"/>
        </w:trPr>
        <w:tc>
          <w:tcPr>
            <w:tcW w:w="4520" w:type="dxa"/>
            <w:tcBorders>
              <w:top w:val="nil"/>
              <w:left w:val="nil"/>
              <w:bottom w:val="single" w:sz="8" w:space="0" w:color="auto"/>
              <w:right w:val="nil"/>
            </w:tcBorders>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 xml:space="preserve">  División de Apoyo a la Aplicación</w:t>
            </w:r>
          </w:p>
        </w:tc>
        <w:tc>
          <w:tcPr>
            <w:tcW w:w="1640" w:type="dxa"/>
            <w:tcBorders>
              <w:top w:val="nil"/>
              <w:left w:val="nil"/>
              <w:bottom w:val="single" w:sz="8" w:space="0" w:color="auto"/>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color w:val="000000"/>
                <w:sz w:val="22"/>
                <w:szCs w:val="22"/>
              </w:rPr>
              <w:t>4 262,15</w:t>
            </w:r>
          </w:p>
        </w:tc>
      </w:tr>
      <w:tr w:rsidR="006E4F84">
        <w:trPr>
          <w:trHeight w:val="300"/>
          <w:jc w:val="center"/>
        </w:trPr>
        <w:tc>
          <w:tcPr>
            <w:tcW w:w="4520" w:type="dxa"/>
            <w:tcBorders>
              <w:top w:val="nil"/>
              <w:left w:val="nil"/>
              <w:bottom w:val="single" w:sz="8" w:space="0" w:color="auto"/>
              <w:right w:val="nil"/>
            </w:tcBorders>
          </w:tcPr>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II. Administración, Finanzas y Servicios de Conferencias</w:t>
            </w:r>
          </w:p>
        </w:tc>
        <w:tc>
          <w:tcPr>
            <w:tcW w:w="1640" w:type="dxa"/>
            <w:tcBorders>
              <w:top w:val="nil"/>
              <w:left w:val="nil"/>
              <w:bottom w:val="single" w:sz="8" w:space="0" w:color="auto"/>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color w:val="000000"/>
                <w:sz w:val="22"/>
                <w:szCs w:val="22"/>
              </w:rPr>
              <w:t>2 921,7</w:t>
            </w:r>
          </w:p>
        </w:tc>
      </w:tr>
      <w:tr w:rsidR="006E4F84">
        <w:trPr>
          <w:trHeight w:val="300"/>
          <w:jc w:val="center"/>
        </w:trPr>
        <w:tc>
          <w:tcPr>
            <w:tcW w:w="4520" w:type="dxa"/>
            <w:tcBorders>
              <w:top w:val="nil"/>
              <w:left w:val="nil"/>
              <w:bottom w:val="single" w:sz="12" w:space="0" w:color="auto"/>
              <w:right w:val="nil"/>
            </w:tcBorders>
          </w:tcPr>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Subtotal</w:t>
            </w:r>
          </w:p>
        </w:tc>
        <w:tc>
          <w:tcPr>
            <w:tcW w:w="1640" w:type="dxa"/>
            <w:tcBorders>
              <w:top w:val="nil"/>
              <w:left w:val="nil"/>
              <w:bottom w:val="single" w:sz="12" w:space="0" w:color="auto"/>
              <w:right w:val="nil"/>
            </w:tcBorders>
          </w:tcPr>
          <w:p w:rsidR="006E4F84" w:rsidRDefault="006E4F84">
            <w:pPr>
              <w:keepNext/>
              <w:keepLines/>
              <w:suppressLineNumbers/>
              <w:suppressAutoHyphens/>
              <w:kinsoku w:val="0"/>
              <w:overflowPunct w:val="0"/>
              <w:autoSpaceDE w:val="0"/>
              <w:autoSpaceDN w:val="0"/>
              <w:ind w:right="289"/>
              <w:jc w:val="right"/>
              <w:rPr>
                <w:rFonts w:cs="Times New Roman"/>
                <w:b/>
                <w:bCs/>
                <w:color w:val="000000"/>
                <w:kern w:val="22"/>
                <w:sz w:val="22"/>
                <w:szCs w:val="22"/>
              </w:rPr>
            </w:pPr>
            <w:r>
              <w:rPr>
                <w:rFonts w:cs="Times New Roman"/>
                <w:b/>
                <w:bCs/>
                <w:color w:val="000000"/>
                <w:sz w:val="22"/>
                <w:szCs w:val="22"/>
              </w:rPr>
              <w:t>15 188,40</w:t>
            </w:r>
          </w:p>
        </w:tc>
      </w:tr>
      <w:tr w:rsidR="006E4F84">
        <w:trPr>
          <w:trHeight w:val="300"/>
          <w:jc w:val="center"/>
        </w:trPr>
        <w:tc>
          <w:tcPr>
            <w:tcW w:w="4520" w:type="dxa"/>
            <w:tcBorders>
              <w:top w:val="nil"/>
              <w:left w:val="nil"/>
              <w:bottom w:val="nil"/>
              <w:right w:val="nil"/>
            </w:tcBorders>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Gastos de apoyo a los programas</w:t>
            </w:r>
          </w:p>
        </w:tc>
        <w:tc>
          <w:tcPr>
            <w:tcW w:w="1640" w:type="dxa"/>
            <w:tcBorders>
              <w:top w:val="nil"/>
              <w:left w:val="nil"/>
              <w:bottom w:val="nil"/>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color w:val="000000"/>
                <w:sz w:val="22"/>
                <w:szCs w:val="22"/>
              </w:rPr>
              <w:t>1 974,49</w:t>
            </w:r>
          </w:p>
        </w:tc>
      </w:tr>
      <w:tr w:rsidR="006E4F84">
        <w:trPr>
          <w:trHeight w:val="300"/>
          <w:jc w:val="center"/>
        </w:trPr>
        <w:tc>
          <w:tcPr>
            <w:tcW w:w="4520" w:type="dxa"/>
            <w:tcBorders>
              <w:top w:val="nil"/>
              <w:left w:val="nil"/>
              <w:bottom w:val="single" w:sz="8" w:space="0" w:color="auto"/>
              <w:right w:val="nil"/>
            </w:tcBorders>
          </w:tcPr>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III. Reserva operacional</w:t>
            </w:r>
          </w:p>
        </w:tc>
        <w:tc>
          <w:tcPr>
            <w:tcW w:w="1640" w:type="dxa"/>
            <w:tcBorders>
              <w:top w:val="nil"/>
              <w:left w:val="nil"/>
              <w:bottom w:val="single" w:sz="8" w:space="0" w:color="auto"/>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color w:val="000000"/>
                <w:sz w:val="22"/>
                <w:szCs w:val="22"/>
              </w:rPr>
              <w:t>(390,27)</w:t>
            </w:r>
          </w:p>
        </w:tc>
      </w:tr>
      <w:tr w:rsidR="006E4F84">
        <w:trPr>
          <w:trHeight w:val="300"/>
          <w:jc w:val="center"/>
        </w:trPr>
        <w:tc>
          <w:tcPr>
            <w:tcW w:w="4520" w:type="dxa"/>
            <w:tcBorders>
              <w:top w:val="nil"/>
              <w:left w:val="nil"/>
              <w:bottom w:val="single" w:sz="4" w:space="0" w:color="auto"/>
              <w:right w:val="nil"/>
            </w:tcBorders>
          </w:tcPr>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Total</w:t>
            </w:r>
          </w:p>
        </w:tc>
        <w:tc>
          <w:tcPr>
            <w:tcW w:w="1640" w:type="dxa"/>
            <w:tcBorders>
              <w:top w:val="nil"/>
              <w:left w:val="nil"/>
              <w:bottom w:val="single" w:sz="4" w:space="0" w:color="auto"/>
              <w:right w:val="nil"/>
            </w:tcBorders>
          </w:tcPr>
          <w:p w:rsidR="006E4F84" w:rsidRDefault="006E4F84">
            <w:pPr>
              <w:keepNext/>
              <w:keepLines/>
              <w:suppressLineNumbers/>
              <w:suppressAutoHyphens/>
              <w:kinsoku w:val="0"/>
              <w:overflowPunct w:val="0"/>
              <w:autoSpaceDE w:val="0"/>
              <w:autoSpaceDN w:val="0"/>
              <w:ind w:right="289"/>
              <w:jc w:val="right"/>
              <w:rPr>
                <w:rFonts w:cs="Times New Roman"/>
                <w:b/>
                <w:bCs/>
                <w:color w:val="000000"/>
                <w:kern w:val="22"/>
                <w:sz w:val="22"/>
                <w:szCs w:val="22"/>
              </w:rPr>
            </w:pPr>
            <w:r>
              <w:rPr>
                <w:rFonts w:cs="Times New Roman"/>
                <w:b/>
                <w:bCs/>
                <w:color w:val="000000"/>
                <w:sz w:val="22"/>
                <w:szCs w:val="22"/>
              </w:rPr>
              <w:t>16 772,63</w:t>
            </w:r>
          </w:p>
        </w:tc>
      </w:tr>
      <w:tr w:rsidR="006E4F84">
        <w:trPr>
          <w:trHeight w:val="300"/>
          <w:jc w:val="center"/>
        </w:trPr>
        <w:tc>
          <w:tcPr>
            <w:tcW w:w="4520" w:type="dxa"/>
            <w:tcBorders>
              <w:top w:val="single" w:sz="4" w:space="0" w:color="auto"/>
              <w:left w:val="nil"/>
              <w:bottom w:val="single" w:sz="4" w:space="0" w:color="auto"/>
              <w:right w:val="nil"/>
            </w:tcBorders>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Porcentaje del presupuesto integrado correspondiente al Convenio (74%)</w:t>
            </w:r>
          </w:p>
        </w:tc>
        <w:tc>
          <w:tcPr>
            <w:tcW w:w="1640" w:type="dxa"/>
            <w:tcBorders>
              <w:top w:val="single" w:sz="4" w:space="0" w:color="auto"/>
              <w:left w:val="nil"/>
              <w:bottom w:val="single" w:sz="4" w:space="0" w:color="auto"/>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color w:val="000000"/>
                <w:sz w:val="22"/>
                <w:szCs w:val="22"/>
              </w:rPr>
              <w:t>12 411,74</w:t>
            </w:r>
          </w:p>
        </w:tc>
      </w:tr>
      <w:tr w:rsidR="006E4F84">
        <w:trPr>
          <w:trHeight w:val="300"/>
          <w:jc w:val="center"/>
        </w:trPr>
        <w:tc>
          <w:tcPr>
            <w:tcW w:w="4520" w:type="dxa"/>
            <w:tcBorders>
              <w:top w:val="single" w:sz="4" w:space="0" w:color="auto"/>
              <w:left w:val="nil"/>
              <w:bottom w:val="single" w:sz="4" w:space="0" w:color="auto"/>
              <w:right w:val="nil"/>
            </w:tcBorders>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Menos la contribución del país anfitrión</w:t>
            </w:r>
          </w:p>
        </w:tc>
        <w:tc>
          <w:tcPr>
            <w:tcW w:w="1640" w:type="dxa"/>
            <w:tcBorders>
              <w:top w:val="single" w:sz="4" w:space="0" w:color="auto"/>
              <w:left w:val="nil"/>
              <w:bottom w:val="single" w:sz="4" w:space="0" w:color="auto"/>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color w:val="000000"/>
                <w:sz w:val="22"/>
                <w:szCs w:val="22"/>
              </w:rPr>
              <w:t>(1 135,75)</w:t>
            </w:r>
          </w:p>
        </w:tc>
      </w:tr>
      <w:tr w:rsidR="006E4F84">
        <w:trPr>
          <w:trHeight w:val="300"/>
          <w:jc w:val="center"/>
        </w:trPr>
        <w:tc>
          <w:tcPr>
            <w:tcW w:w="4520" w:type="dxa"/>
            <w:tcBorders>
              <w:top w:val="single" w:sz="4" w:space="0" w:color="auto"/>
              <w:left w:val="nil"/>
              <w:bottom w:val="single" w:sz="4" w:space="0" w:color="auto"/>
              <w:right w:val="nil"/>
            </w:tcBorders>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Menos: Empleo de fondos de reserva para reunión extraordinaria</w:t>
            </w:r>
          </w:p>
        </w:tc>
        <w:tc>
          <w:tcPr>
            <w:tcW w:w="1640" w:type="dxa"/>
            <w:tcBorders>
              <w:top w:val="single" w:sz="4" w:space="0" w:color="auto"/>
              <w:left w:val="nil"/>
              <w:bottom w:val="single" w:sz="4" w:space="0" w:color="auto"/>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color w:val="000000"/>
                <w:sz w:val="22"/>
                <w:szCs w:val="22"/>
              </w:rPr>
              <w:t>(292,67)</w:t>
            </w:r>
          </w:p>
        </w:tc>
      </w:tr>
      <w:tr w:rsidR="006E4F84">
        <w:trPr>
          <w:trHeight w:val="300"/>
          <w:jc w:val="center"/>
        </w:trPr>
        <w:tc>
          <w:tcPr>
            <w:tcW w:w="4520" w:type="dxa"/>
            <w:tcBorders>
              <w:top w:val="single" w:sz="4" w:space="0" w:color="auto"/>
              <w:left w:val="nil"/>
              <w:bottom w:val="single" w:sz="8" w:space="0" w:color="auto"/>
              <w:right w:val="nil"/>
            </w:tcBorders>
          </w:tcPr>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Monto neto a distribuir entre las Partes</w:t>
            </w:r>
          </w:p>
        </w:tc>
        <w:tc>
          <w:tcPr>
            <w:tcW w:w="1640" w:type="dxa"/>
            <w:tcBorders>
              <w:top w:val="single" w:sz="4" w:space="0" w:color="auto"/>
              <w:left w:val="nil"/>
              <w:bottom w:val="single" w:sz="8" w:space="0" w:color="auto"/>
              <w:right w:val="nil"/>
            </w:tcBorders>
          </w:tcPr>
          <w:p w:rsidR="006E4F84" w:rsidRDefault="006E4F84">
            <w:pPr>
              <w:keepNext/>
              <w:keepLines/>
              <w:suppressLineNumbers/>
              <w:suppressAutoHyphens/>
              <w:kinsoku w:val="0"/>
              <w:overflowPunct w:val="0"/>
              <w:autoSpaceDE w:val="0"/>
              <w:autoSpaceDN w:val="0"/>
              <w:ind w:right="289"/>
              <w:jc w:val="right"/>
              <w:rPr>
                <w:rFonts w:cs="Times New Roman"/>
                <w:color w:val="000000"/>
                <w:kern w:val="22"/>
                <w:sz w:val="22"/>
                <w:szCs w:val="22"/>
              </w:rPr>
            </w:pPr>
            <w:r>
              <w:rPr>
                <w:rFonts w:cs="Times New Roman"/>
                <w:b/>
                <w:bCs/>
                <w:color w:val="000000"/>
                <w:sz w:val="22"/>
                <w:szCs w:val="22"/>
              </w:rPr>
              <w:t>10 983,32</w:t>
            </w:r>
          </w:p>
        </w:tc>
      </w:tr>
      <w:bookmarkEnd w:id="12"/>
    </w:tbl>
    <w:p w:rsidR="006E4F84" w:rsidRDefault="006E4F84">
      <w:pPr>
        <w:suppressLineNumbers/>
        <w:suppressAutoHyphens/>
        <w:kinsoku w:val="0"/>
        <w:overflowPunct w:val="0"/>
        <w:autoSpaceDE w:val="0"/>
        <w:autoSpaceDN w:val="0"/>
        <w:spacing w:before="120" w:after="120"/>
        <w:rPr>
          <w:rFonts w:cs="Times New Roman"/>
          <w:kern w:val="22"/>
          <w:sz w:val="22"/>
          <w:szCs w:val="22"/>
        </w:rPr>
      </w:pPr>
    </w:p>
    <w:p w:rsidR="006E4F84" w:rsidRDefault="006E4F84">
      <w:pPr>
        <w:pStyle w:val="Heading4indent"/>
        <w:keepLines/>
        <w:suppressLineNumbers/>
        <w:suppressAutoHyphens/>
        <w:kinsoku w:val="0"/>
        <w:overflowPunct w:val="0"/>
        <w:jc w:val="both"/>
        <w:rPr>
          <w:rFonts w:ascii="Arial" w:hAnsi="Arial" w:cs="Arial"/>
          <w:i w:val="0"/>
          <w:iCs w:val="0"/>
          <w:kern w:val="22"/>
          <w:sz w:val="22"/>
          <w:szCs w:val="22"/>
        </w:rPr>
      </w:pPr>
      <w:r>
        <w:rPr>
          <w:i w:val="0"/>
          <w:iCs w:val="0"/>
          <w:sz w:val="22"/>
          <w:szCs w:val="22"/>
        </w:rPr>
        <w:t>Cuadro 3</w:t>
      </w:r>
    </w:p>
    <w:p w:rsidR="006E4F84" w:rsidRDefault="006E4F84">
      <w:pPr>
        <w:pStyle w:val="Heading4indent"/>
        <w:keepLines/>
        <w:suppressLineNumbers/>
        <w:suppressAutoHyphens/>
        <w:kinsoku w:val="0"/>
        <w:overflowPunct w:val="0"/>
        <w:jc w:val="both"/>
        <w:rPr>
          <w:rFonts w:ascii="Arial" w:hAnsi="Arial" w:cs="Arial"/>
          <w:i w:val="0"/>
          <w:iCs w:val="0"/>
          <w:color w:val="000000"/>
          <w:kern w:val="22"/>
          <w:sz w:val="22"/>
          <w:szCs w:val="22"/>
        </w:rPr>
      </w:pPr>
      <w:r>
        <w:rPr>
          <w:i w:val="0"/>
          <w:iCs w:val="0"/>
          <w:color w:val="000000"/>
          <w:sz w:val="22"/>
          <w:szCs w:val="22"/>
        </w:rPr>
        <w:t>Necesidades de personal de la Secretaría con cargo a los presupuestos básicos del Convenio y sus Protocolos para 2021</w:t>
      </w:r>
    </w:p>
    <w:p w:rsidR="006E4F84" w:rsidRDefault="006E4F84">
      <w:pPr>
        <w:suppressLineNumbers/>
        <w:suppressAutoHyphens/>
        <w:kinsoku w:val="0"/>
        <w:overflowPunct w:val="0"/>
        <w:autoSpaceDE w:val="0"/>
        <w:autoSpaceDN w:val="0"/>
        <w:adjustRightInd w:val="0"/>
        <w:rPr>
          <w:rFonts w:cs="Times New Roman"/>
          <w:kern w:val="22"/>
          <w:sz w:val="22"/>
          <w:szCs w:val="22"/>
        </w:rPr>
      </w:pPr>
    </w:p>
    <w:tbl>
      <w:tblPr>
        <w:tblW w:w="5458" w:type="dxa"/>
        <w:jc w:val="center"/>
        <w:tblLook w:val="0000"/>
      </w:tblPr>
      <w:tblGrid>
        <w:gridCol w:w="3651"/>
        <w:gridCol w:w="1807"/>
      </w:tblGrid>
      <w:tr w:rsidR="006E4F84">
        <w:trPr>
          <w:cantSplit/>
          <w:jc w:val="center"/>
        </w:trPr>
        <w:tc>
          <w:tcPr>
            <w:tcW w:w="3651" w:type="dxa"/>
            <w:tcBorders>
              <w:top w:val="nil"/>
              <w:left w:val="nil"/>
              <w:bottom w:val="single" w:sz="8" w:space="0" w:color="auto"/>
              <w:right w:val="nil"/>
            </w:tcBorders>
            <w:vAlign w:val="center"/>
          </w:tcPr>
          <w:p w:rsidR="006E4F84" w:rsidRDefault="006E4F84">
            <w:pPr>
              <w:keepNext/>
              <w:keepLines/>
              <w:suppressLineNumbers/>
              <w:suppressAutoHyphens/>
              <w:kinsoku w:val="0"/>
              <w:overflowPunct w:val="0"/>
              <w:autoSpaceDE w:val="0"/>
              <w:autoSpaceDN w:val="0"/>
              <w:jc w:val="center"/>
              <w:rPr>
                <w:rFonts w:cs="Times New Roman"/>
                <w:i/>
                <w:iCs/>
                <w:color w:val="000000"/>
                <w:kern w:val="22"/>
                <w:sz w:val="22"/>
                <w:szCs w:val="22"/>
              </w:rPr>
            </w:pPr>
            <w:r>
              <w:rPr>
                <w:rFonts w:cs="Times New Roman"/>
                <w:i/>
                <w:iCs/>
                <w:color w:val="000000"/>
                <w:sz w:val="22"/>
                <w:szCs w:val="22"/>
              </w:rPr>
              <w:t>Categoría y nivel</w:t>
            </w:r>
          </w:p>
        </w:tc>
        <w:tc>
          <w:tcPr>
            <w:tcW w:w="1807" w:type="dxa"/>
            <w:tcBorders>
              <w:top w:val="nil"/>
              <w:left w:val="nil"/>
              <w:bottom w:val="single" w:sz="8" w:space="0" w:color="auto"/>
              <w:right w:val="nil"/>
            </w:tcBorders>
            <w:vAlign w:val="center"/>
          </w:tcPr>
          <w:p w:rsidR="006E4F84" w:rsidRDefault="006E4F84">
            <w:pPr>
              <w:keepNext/>
              <w:keepLines/>
              <w:suppressLineNumbers/>
              <w:suppressAutoHyphens/>
              <w:kinsoku w:val="0"/>
              <w:overflowPunct w:val="0"/>
              <w:autoSpaceDE w:val="0"/>
              <w:autoSpaceDN w:val="0"/>
              <w:jc w:val="center"/>
              <w:rPr>
                <w:rFonts w:cs="Times New Roman"/>
                <w:i/>
                <w:iCs/>
                <w:color w:val="000000"/>
                <w:kern w:val="22"/>
                <w:sz w:val="22"/>
                <w:szCs w:val="22"/>
              </w:rPr>
            </w:pPr>
            <w:r>
              <w:rPr>
                <w:rFonts w:cs="Times New Roman"/>
                <w:i/>
                <w:iCs/>
                <w:color w:val="000000"/>
                <w:sz w:val="22"/>
                <w:szCs w:val="22"/>
              </w:rPr>
              <w:t>Propuestos para 2021</w:t>
            </w:r>
          </w:p>
        </w:tc>
      </w:tr>
      <w:tr w:rsidR="006E4F84">
        <w:trPr>
          <w:trHeight w:val="288"/>
          <w:jc w:val="center"/>
        </w:trPr>
        <w:tc>
          <w:tcPr>
            <w:tcW w:w="3651" w:type="dxa"/>
            <w:tcBorders>
              <w:top w:val="nil"/>
              <w:left w:val="nil"/>
              <w:bottom w:val="nil"/>
              <w:right w:val="nil"/>
            </w:tcBorders>
            <w:noWrap/>
            <w:vAlign w:val="center"/>
          </w:tcPr>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Cuadro Orgánico y categorías superiores</w:t>
            </w:r>
          </w:p>
        </w:tc>
        <w:tc>
          <w:tcPr>
            <w:tcW w:w="1807"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p>
        </w:tc>
      </w:tr>
      <w:tr w:rsidR="006E4F84">
        <w:trPr>
          <w:trHeight w:val="288"/>
          <w:jc w:val="center"/>
        </w:trPr>
        <w:tc>
          <w:tcPr>
            <w:tcW w:w="3651"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SSG</w:t>
            </w:r>
          </w:p>
        </w:tc>
        <w:tc>
          <w:tcPr>
            <w:tcW w:w="1807"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ind w:right="674"/>
              <w:jc w:val="right"/>
              <w:rPr>
                <w:rFonts w:cs="Times New Roman"/>
                <w:color w:val="000000"/>
                <w:kern w:val="22"/>
                <w:sz w:val="22"/>
                <w:szCs w:val="22"/>
              </w:rPr>
            </w:pPr>
            <w:r>
              <w:rPr>
                <w:rFonts w:cs="Times New Roman"/>
                <w:color w:val="000000"/>
                <w:sz w:val="22"/>
                <w:szCs w:val="22"/>
              </w:rPr>
              <w:t>1</w:t>
            </w:r>
          </w:p>
        </w:tc>
      </w:tr>
      <w:tr w:rsidR="006E4F84">
        <w:trPr>
          <w:trHeight w:val="288"/>
          <w:jc w:val="center"/>
        </w:trPr>
        <w:tc>
          <w:tcPr>
            <w:tcW w:w="3651"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D-1</w:t>
            </w:r>
          </w:p>
        </w:tc>
        <w:tc>
          <w:tcPr>
            <w:tcW w:w="1807"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ind w:right="674"/>
              <w:jc w:val="right"/>
              <w:rPr>
                <w:rFonts w:cs="Times New Roman"/>
                <w:color w:val="000000"/>
                <w:kern w:val="22"/>
                <w:sz w:val="22"/>
                <w:szCs w:val="22"/>
              </w:rPr>
            </w:pPr>
            <w:r>
              <w:rPr>
                <w:rFonts w:cs="Times New Roman"/>
                <w:color w:val="000000"/>
                <w:sz w:val="22"/>
                <w:szCs w:val="22"/>
              </w:rPr>
              <w:t>3</w:t>
            </w:r>
          </w:p>
        </w:tc>
      </w:tr>
      <w:tr w:rsidR="006E4F84">
        <w:trPr>
          <w:trHeight w:val="288"/>
          <w:jc w:val="center"/>
        </w:trPr>
        <w:tc>
          <w:tcPr>
            <w:tcW w:w="3651"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P-5</w:t>
            </w:r>
          </w:p>
        </w:tc>
        <w:tc>
          <w:tcPr>
            <w:tcW w:w="1807"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ind w:right="674"/>
              <w:jc w:val="right"/>
              <w:rPr>
                <w:rFonts w:cs="Times New Roman"/>
                <w:color w:val="000000"/>
                <w:kern w:val="22"/>
                <w:sz w:val="22"/>
                <w:szCs w:val="22"/>
              </w:rPr>
            </w:pPr>
            <w:r>
              <w:rPr>
                <w:rFonts w:cs="Times New Roman"/>
                <w:color w:val="000000"/>
                <w:sz w:val="22"/>
                <w:szCs w:val="22"/>
              </w:rPr>
              <w:t>10</w:t>
            </w:r>
          </w:p>
        </w:tc>
      </w:tr>
      <w:tr w:rsidR="006E4F84">
        <w:trPr>
          <w:trHeight w:val="288"/>
          <w:jc w:val="center"/>
        </w:trPr>
        <w:tc>
          <w:tcPr>
            <w:tcW w:w="3651"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P-4</w:t>
            </w:r>
          </w:p>
        </w:tc>
        <w:tc>
          <w:tcPr>
            <w:tcW w:w="1807"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ind w:right="674"/>
              <w:jc w:val="right"/>
              <w:rPr>
                <w:rFonts w:cs="Times New Roman"/>
                <w:color w:val="000000"/>
                <w:kern w:val="22"/>
                <w:sz w:val="22"/>
                <w:szCs w:val="22"/>
              </w:rPr>
            </w:pPr>
            <w:r>
              <w:rPr>
                <w:rFonts w:cs="Times New Roman"/>
                <w:color w:val="000000"/>
                <w:sz w:val="22"/>
                <w:szCs w:val="22"/>
              </w:rPr>
              <w:t>12</w:t>
            </w:r>
          </w:p>
        </w:tc>
      </w:tr>
      <w:tr w:rsidR="006E4F84">
        <w:trPr>
          <w:trHeight w:val="288"/>
          <w:jc w:val="center"/>
        </w:trPr>
        <w:tc>
          <w:tcPr>
            <w:tcW w:w="3651"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P-3</w:t>
            </w:r>
          </w:p>
        </w:tc>
        <w:tc>
          <w:tcPr>
            <w:tcW w:w="1807"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ind w:right="674"/>
              <w:jc w:val="right"/>
              <w:rPr>
                <w:rFonts w:cs="Times New Roman"/>
                <w:color w:val="000000"/>
                <w:kern w:val="22"/>
                <w:sz w:val="22"/>
                <w:szCs w:val="22"/>
              </w:rPr>
            </w:pPr>
            <w:r>
              <w:rPr>
                <w:rFonts w:cs="Times New Roman"/>
                <w:color w:val="000000"/>
                <w:sz w:val="22"/>
                <w:szCs w:val="22"/>
              </w:rPr>
              <w:t>14</w:t>
            </w:r>
          </w:p>
        </w:tc>
      </w:tr>
      <w:tr w:rsidR="006E4F84">
        <w:trPr>
          <w:trHeight w:val="300"/>
          <w:jc w:val="center"/>
        </w:trPr>
        <w:tc>
          <w:tcPr>
            <w:tcW w:w="3651"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P-2/1</w:t>
            </w:r>
          </w:p>
        </w:tc>
        <w:tc>
          <w:tcPr>
            <w:tcW w:w="1807" w:type="dxa"/>
            <w:tcBorders>
              <w:top w:val="nil"/>
              <w:left w:val="nil"/>
              <w:bottom w:val="nil"/>
              <w:right w:val="nil"/>
            </w:tcBorders>
            <w:vAlign w:val="center"/>
          </w:tcPr>
          <w:p w:rsidR="006E4F84" w:rsidRDefault="006E4F84">
            <w:pPr>
              <w:keepNext/>
              <w:keepLines/>
              <w:suppressLineNumbers/>
              <w:suppressAutoHyphens/>
              <w:kinsoku w:val="0"/>
              <w:overflowPunct w:val="0"/>
              <w:autoSpaceDE w:val="0"/>
              <w:autoSpaceDN w:val="0"/>
              <w:ind w:right="674"/>
              <w:jc w:val="right"/>
              <w:rPr>
                <w:rFonts w:cs="Times New Roman"/>
                <w:color w:val="000000"/>
                <w:kern w:val="22"/>
                <w:sz w:val="22"/>
                <w:szCs w:val="22"/>
              </w:rPr>
            </w:pPr>
            <w:r>
              <w:rPr>
                <w:rFonts w:cs="Times New Roman"/>
                <w:color w:val="000000"/>
                <w:sz w:val="22"/>
                <w:szCs w:val="22"/>
              </w:rPr>
              <w:t>9</w:t>
            </w:r>
          </w:p>
        </w:tc>
      </w:tr>
      <w:tr w:rsidR="006E4F84">
        <w:trPr>
          <w:trHeight w:val="300"/>
          <w:jc w:val="center"/>
        </w:trPr>
        <w:tc>
          <w:tcPr>
            <w:tcW w:w="3651" w:type="dxa"/>
            <w:tcBorders>
              <w:top w:val="single" w:sz="8" w:space="0" w:color="auto"/>
              <w:left w:val="nil"/>
              <w:bottom w:val="single" w:sz="8" w:space="0" w:color="auto"/>
              <w:right w:val="nil"/>
            </w:tcBorders>
            <w:vAlign w:val="center"/>
          </w:tcPr>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Subtotal</w:t>
            </w:r>
          </w:p>
        </w:tc>
        <w:tc>
          <w:tcPr>
            <w:tcW w:w="1807" w:type="dxa"/>
            <w:tcBorders>
              <w:top w:val="single" w:sz="8" w:space="0" w:color="auto"/>
              <w:left w:val="nil"/>
              <w:bottom w:val="single" w:sz="8" w:space="0" w:color="auto"/>
              <w:right w:val="nil"/>
            </w:tcBorders>
            <w:vAlign w:val="center"/>
          </w:tcPr>
          <w:p w:rsidR="006E4F84" w:rsidRDefault="006E4F84">
            <w:pPr>
              <w:keepNext/>
              <w:keepLines/>
              <w:suppressLineNumbers/>
              <w:suppressAutoHyphens/>
              <w:kinsoku w:val="0"/>
              <w:overflowPunct w:val="0"/>
              <w:autoSpaceDE w:val="0"/>
              <w:autoSpaceDN w:val="0"/>
              <w:ind w:right="674"/>
              <w:jc w:val="right"/>
              <w:rPr>
                <w:rFonts w:cs="Times New Roman"/>
                <w:b/>
                <w:bCs/>
                <w:color w:val="000000"/>
                <w:kern w:val="22"/>
                <w:sz w:val="22"/>
                <w:szCs w:val="22"/>
              </w:rPr>
            </w:pPr>
            <w:r>
              <w:rPr>
                <w:rFonts w:cs="Times New Roman"/>
                <w:b/>
                <w:bCs/>
                <w:color w:val="000000"/>
                <w:sz w:val="22"/>
                <w:szCs w:val="22"/>
              </w:rPr>
              <w:t>49</w:t>
            </w:r>
          </w:p>
        </w:tc>
      </w:tr>
      <w:tr w:rsidR="006E4F84">
        <w:trPr>
          <w:trHeight w:val="300"/>
          <w:jc w:val="center"/>
        </w:trPr>
        <w:tc>
          <w:tcPr>
            <w:tcW w:w="3651" w:type="dxa"/>
            <w:tcBorders>
              <w:top w:val="nil"/>
              <w:left w:val="nil"/>
              <w:bottom w:val="single" w:sz="8" w:space="0" w:color="auto"/>
              <w:right w:val="nil"/>
            </w:tcBorders>
            <w:vAlign w:val="center"/>
          </w:tcPr>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Cuadro de Servicios Generales</w:t>
            </w:r>
          </w:p>
        </w:tc>
        <w:tc>
          <w:tcPr>
            <w:tcW w:w="1807" w:type="dxa"/>
            <w:tcBorders>
              <w:top w:val="nil"/>
              <w:left w:val="nil"/>
              <w:bottom w:val="single" w:sz="8" w:space="0" w:color="auto"/>
              <w:right w:val="nil"/>
            </w:tcBorders>
            <w:vAlign w:val="center"/>
          </w:tcPr>
          <w:p w:rsidR="006E4F84" w:rsidRDefault="006E4F84">
            <w:pPr>
              <w:keepNext/>
              <w:keepLines/>
              <w:suppressLineNumbers/>
              <w:suppressAutoHyphens/>
              <w:kinsoku w:val="0"/>
              <w:overflowPunct w:val="0"/>
              <w:autoSpaceDE w:val="0"/>
              <w:autoSpaceDN w:val="0"/>
              <w:ind w:right="674"/>
              <w:jc w:val="right"/>
              <w:rPr>
                <w:rFonts w:cs="Times New Roman"/>
                <w:color w:val="000000"/>
                <w:kern w:val="22"/>
                <w:sz w:val="22"/>
                <w:szCs w:val="22"/>
              </w:rPr>
            </w:pPr>
            <w:r>
              <w:rPr>
                <w:rFonts w:cs="Times New Roman"/>
                <w:color w:val="000000"/>
                <w:sz w:val="22"/>
                <w:szCs w:val="22"/>
              </w:rPr>
              <w:t>29</w:t>
            </w:r>
          </w:p>
        </w:tc>
      </w:tr>
      <w:tr w:rsidR="006E4F84">
        <w:trPr>
          <w:trHeight w:val="300"/>
          <w:jc w:val="center"/>
        </w:trPr>
        <w:tc>
          <w:tcPr>
            <w:tcW w:w="3651" w:type="dxa"/>
            <w:tcBorders>
              <w:top w:val="nil"/>
              <w:left w:val="nil"/>
              <w:bottom w:val="single" w:sz="12" w:space="0" w:color="auto"/>
              <w:right w:val="nil"/>
            </w:tcBorders>
            <w:vAlign w:val="center"/>
          </w:tcPr>
          <w:p w:rsidR="006E4F84" w:rsidRDefault="006E4F84">
            <w:pPr>
              <w:keepNext/>
              <w:keepLines/>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Total</w:t>
            </w:r>
          </w:p>
        </w:tc>
        <w:tc>
          <w:tcPr>
            <w:tcW w:w="1807" w:type="dxa"/>
            <w:tcBorders>
              <w:top w:val="nil"/>
              <w:left w:val="nil"/>
              <w:bottom w:val="single" w:sz="12" w:space="0" w:color="auto"/>
              <w:right w:val="nil"/>
            </w:tcBorders>
            <w:vAlign w:val="center"/>
          </w:tcPr>
          <w:p w:rsidR="006E4F84" w:rsidRDefault="006E4F84">
            <w:pPr>
              <w:keepNext/>
              <w:keepLines/>
              <w:suppressLineNumbers/>
              <w:suppressAutoHyphens/>
              <w:kinsoku w:val="0"/>
              <w:overflowPunct w:val="0"/>
              <w:autoSpaceDE w:val="0"/>
              <w:autoSpaceDN w:val="0"/>
              <w:ind w:right="674"/>
              <w:jc w:val="right"/>
              <w:rPr>
                <w:rFonts w:cs="Times New Roman"/>
                <w:b/>
                <w:bCs/>
                <w:color w:val="000000"/>
                <w:kern w:val="22"/>
                <w:sz w:val="22"/>
                <w:szCs w:val="22"/>
              </w:rPr>
            </w:pPr>
            <w:r>
              <w:rPr>
                <w:rFonts w:cs="Times New Roman"/>
                <w:b/>
                <w:bCs/>
                <w:color w:val="000000"/>
                <w:sz w:val="22"/>
                <w:szCs w:val="22"/>
              </w:rPr>
              <w:t>78</w:t>
            </w:r>
          </w:p>
        </w:tc>
      </w:tr>
    </w:tbl>
    <w:p w:rsidR="006E4F84" w:rsidRDefault="006E4F84">
      <w:pPr>
        <w:suppressLineNumbers/>
        <w:suppressAutoHyphens/>
        <w:kinsoku w:val="0"/>
        <w:overflowPunct w:val="0"/>
        <w:autoSpaceDE w:val="0"/>
        <w:autoSpaceDN w:val="0"/>
        <w:rPr>
          <w:rFonts w:cs="Times New Roman"/>
          <w:kern w:val="22"/>
          <w:sz w:val="22"/>
          <w:szCs w:val="22"/>
        </w:rPr>
      </w:pPr>
    </w:p>
    <w:p w:rsidR="006E4F84" w:rsidRDefault="006E4F84">
      <w:pPr>
        <w:suppressLineNumbers/>
        <w:suppressAutoHyphens/>
        <w:kinsoku w:val="0"/>
        <w:overflowPunct w:val="0"/>
        <w:autoSpaceDE w:val="0"/>
        <w:autoSpaceDN w:val="0"/>
        <w:spacing w:after="160" w:line="259" w:lineRule="auto"/>
        <w:rPr>
          <w:rFonts w:cs="Times New Roman"/>
          <w:kern w:val="22"/>
        </w:rPr>
      </w:pPr>
      <w:r>
        <w:rPr>
          <w:rFonts w:cs="Times New Roman"/>
        </w:rPr>
        <w:br w:type="page"/>
      </w:r>
    </w:p>
    <w:p w:rsidR="006E4F84" w:rsidRDefault="006E4F84">
      <w:pPr>
        <w:keepNext/>
        <w:suppressLineNumbers/>
        <w:suppressAutoHyphens/>
        <w:kinsoku w:val="0"/>
        <w:overflowPunct w:val="0"/>
        <w:autoSpaceDE w:val="0"/>
        <w:autoSpaceDN w:val="0"/>
        <w:adjustRightInd w:val="0"/>
        <w:ind w:left="113"/>
        <w:rPr>
          <w:rFonts w:eastAsia="SimSun" w:cs="Times New Roman"/>
          <w:b/>
          <w:bCs/>
          <w:kern w:val="22"/>
          <w:sz w:val="22"/>
          <w:szCs w:val="22"/>
        </w:rPr>
      </w:pPr>
      <w:r>
        <w:rPr>
          <w:rFonts w:cs="Times New Roman"/>
          <w:b/>
          <w:bCs/>
          <w:sz w:val="22"/>
          <w:szCs w:val="22"/>
        </w:rPr>
        <w:t>Cuadro 4</w:t>
      </w:r>
      <w:r>
        <w:rPr>
          <w:rFonts w:cs="Times New Roman"/>
          <w:sz w:val="22"/>
          <w:szCs w:val="22"/>
        </w:rPr>
        <w:br/>
      </w:r>
      <w:r>
        <w:rPr>
          <w:rFonts w:cs="Times New Roman"/>
          <w:b/>
          <w:bCs/>
          <w:sz w:val="22"/>
          <w:szCs w:val="22"/>
        </w:rPr>
        <w:t>Contribuciones al Fondo Fiduciario para el Convenio sobre la Diversidad Biológica para 2021</w:t>
      </w:r>
    </w:p>
    <w:p w:rsidR="006E4F84" w:rsidRDefault="006E4F84">
      <w:pPr>
        <w:suppressLineNumbers/>
        <w:suppressAutoHyphens/>
        <w:kinsoku w:val="0"/>
        <w:overflowPunct w:val="0"/>
        <w:autoSpaceDE w:val="0"/>
        <w:autoSpaceDN w:val="0"/>
        <w:rPr>
          <w:rFonts w:cs="Times New Roman"/>
          <w:kern w:val="22"/>
        </w:rPr>
      </w:pPr>
    </w:p>
    <w:tbl>
      <w:tblPr>
        <w:tblW w:w="9680" w:type="dxa"/>
        <w:jc w:val="center"/>
        <w:tblLook w:val="0000"/>
      </w:tblPr>
      <w:tblGrid>
        <w:gridCol w:w="4940"/>
        <w:gridCol w:w="1501"/>
        <w:gridCol w:w="1580"/>
        <w:gridCol w:w="1659"/>
      </w:tblGrid>
      <w:tr w:rsidR="006E4F84">
        <w:trPr>
          <w:trHeight w:val="816"/>
          <w:tblHeader/>
          <w:jc w:val="center"/>
        </w:trPr>
        <w:tc>
          <w:tcPr>
            <w:tcW w:w="4940" w:type="dxa"/>
            <w:tcBorders>
              <w:top w:val="single" w:sz="4" w:space="0" w:color="auto"/>
              <w:left w:val="single" w:sz="4" w:space="0" w:color="auto"/>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center"/>
              <w:rPr>
                <w:rFonts w:cs="Times New Roman"/>
                <w:b/>
                <w:bCs/>
                <w:kern w:val="22"/>
                <w:sz w:val="22"/>
                <w:szCs w:val="22"/>
              </w:rPr>
            </w:pPr>
            <w:r>
              <w:rPr>
                <w:rFonts w:cs="Times New Roman"/>
                <w:b/>
                <w:bCs/>
                <w:sz w:val="22"/>
                <w:szCs w:val="22"/>
              </w:rPr>
              <w:t>País miembro</w:t>
            </w:r>
          </w:p>
        </w:tc>
        <w:tc>
          <w:tcPr>
            <w:tcW w:w="1501"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center"/>
              <w:rPr>
                <w:rFonts w:cs="Times New Roman"/>
                <w:b/>
                <w:bCs/>
                <w:color w:val="000000"/>
                <w:kern w:val="22"/>
                <w:sz w:val="22"/>
                <w:szCs w:val="22"/>
              </w:rPr>
            </w:pPr>
            <w:r>
              <w:rPr>
                <w:rFonts w:cs="Times New Roman"/>
                <w:b/>
                <w:bCs/>
                <w:color w:val="000000"/>
                <w:sz w:val="22"/>
                <w:szCs w:val="22"/>
              </w:rPr>
              <w:t>Escala de cuotas</w:t>
            </w:r>
          </w:p>
        </w:tc>
        <w:tc>
          <w:tcPr>
            <w:tcW w:w="1580"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center"/>
              <w:rPr>
                <w:rFonts w:cs="Times New Roman"/>
                <w:b/>
                <w:bCs/>
                <w:color w:val="000000"/>
                <w:kern w:val="22"/>
                <w:sz w:val="22"/>
                <w:szCs w:val="22"/>
              </w:rPr>
            </w:pPr>
            <w:r>
              <w:rPr>
                <w:rFonts w:cs="Times New Roman"/>
                <w:b/>
                <w:bCs/>
                <w:color w:val="000000"/>
                <w:sz w:val="22"/>
                <w:szCs w:val="22"/>
              </w:rPr>
              <w:t>Escala con tope del 22 %, ningún PMA paga más del 0,01 %</w:t>
            </w:r>
          </w:p>
        </w:tc>
        <w:tc>
          <w:tcPr>
            <w:tcW w:w="1659" w:type="dxa"/>
            <w:tcBorders>
              <w:top w:val="single" w:sz="4" w:space="0" w:color="auto"/>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center"/>
              <w:rPr>
                <w:rFonts w:cs="Times New Roman"/>
                <w:b/>
                <w:bCs/>
                <w:color w:val="000000"/>
                <w:kern w:val="22"/>
                <w:sz w:val="22"/>
                <w:szCs w:val="22"/>
              </w:rPr>
            </w:pPr>
            <w:r>
              <w:rPr>
                <w:rFonts w:cs="Times New Roman"/>
                <w:b/>
                <w:bCs/>
                <w:color w:val="000000"/>
                <w:sz w:val="22"/>
                <w:szCs w:val="22"/>
              </w:rPr>
              <w:t>Contribuciones al 1 de enero de 2021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Afganistán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961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Albania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Alemania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6,090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7,614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836 255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Andorra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687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Angola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Antigua y Barbuda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Arabia Saudita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1,172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1,465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160 935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Argelia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0,138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0,173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18 950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Argentina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0,915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1,144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125 644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Armenia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961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Australia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2,210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2,763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303 469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Austria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0,677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0,846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92 963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Azerbaiyán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0,049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0,061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6 728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Bahamas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2 472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Bahrein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0,050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0,063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6 866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Bangladesh</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Barbados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961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Belarús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0,049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0,061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6 728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Bélgica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0,821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1,026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112 737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Belice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Benin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412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Bhután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Bolivia (Estado Plurinacional de)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2 197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Bosnia y Herzegovina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1 648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Botswana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1 922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Brasil</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2,948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3,686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404 808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Brunei Darussalam</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3 433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Bulgaria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0,058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6 317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Burkina Faso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412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Burundi</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Cabo Verde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Camboya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824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Camerún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1 785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Canadá</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2,734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3,418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375 422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Chad</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549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Chequia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0,311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0,389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42 705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Chile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0,407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0,509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55 888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China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12,005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15,009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1 648 481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Chipre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4 943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Colombia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0,288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0,360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39 547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Comoras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Congo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824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Costa Rica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0,062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0,078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8 514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Côte d’Ivoire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1 785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Croacia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0,077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0,096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10 573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Cuba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0,080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0,100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10 985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Dinamarca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0,554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0,693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76 073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Djibouti</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Dominica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Ecuador</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0,080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0,100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10 985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Egipto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0,186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0,233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25 541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El Salvador</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1 648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Emiratos Árabes Unidos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0,616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0,770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84 587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Eritrea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Eslovaquia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0,153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0,191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21 009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Eslovenia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0,076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0,095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10 436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España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2,146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2,683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294 681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Estado de Palestina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Estonia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0,039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5 355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Eswatini</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Etiopía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Federación de Rusia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2,405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3,007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330 245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Fiji</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412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Filipinas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0,205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0,256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28 150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Finlandia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0,421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0,526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57 810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Francia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4,427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5,535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607 899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Gabón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2 060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Gambia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Georgia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Ghana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2 060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Granada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Grecia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0,366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0,458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50 258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Guatemala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4 943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Guinea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412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Guinea Ecuatorial</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Guinea-Bissau</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Guyana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Haití</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412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Honduras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0,009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1 236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Hungría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0,206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0,258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28 287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India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0,834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1,043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114 522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Indonesia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0,543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0,679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74 563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Irán (República Islámica del)</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0,398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0,498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54 652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Iraq</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0,129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0,161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17 714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Irlanda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0,371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0,464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50 944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Islandia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3 845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Islas Cook</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Islas Marshall</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Islas Salomón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Israel</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0,490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0,613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67 285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Italia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3,307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4,134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454 105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Jamaica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Japón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8,564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10,707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1 175 976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Jordania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2 884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Kazajstán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0,178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0,223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24 442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Kenya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3 296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Kirguistán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Kiribati</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Kuwait</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0,252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0,315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34 604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Lesotho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Letonia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0,059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6 454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Líbano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0,059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6 454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Liberia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Libia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4 119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Liechtenstein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0,009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1 236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Lituania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0,071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0,089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9 749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Luxemburgo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0,067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0,084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9 200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Macedonia del Norte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961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Madagascar</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549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Malasia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0,341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0,426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46 825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Malawi</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Maldivas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549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Malí</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549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Malta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2 334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Marruecos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0,055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0,069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7 552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Mauricio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1 510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Mauritania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México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1,292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1,615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177 412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Micronesia (Estados Federados de)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Mónaco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1 510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Mongolia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687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Montenegro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549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Mozambique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549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Myanmar</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Namibia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0,009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1 236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Nauru</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Nepal</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961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Nicaragua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687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Níger</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Nigeria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0,250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0,313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34 329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Niue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Noruega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0,754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0,943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103 536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Nueva Zelandia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0,291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0,364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39 959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Omán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0,115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0,144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15 791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Países Bajos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1,356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1,695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186 201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Pakistán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0,115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0,144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15 791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Palau</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Panamá</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0,056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6 179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Papua Nueva Guinea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1 373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Paraguay</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2 197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Perú</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0,152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0,190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20 872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Polonia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0,802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110 128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Portugal</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0,350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0,438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48 061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Qatar</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0,282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0,353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38 723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Reino Unido de Gran Bretaña e Irlanda del Norte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4,567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5,710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627 123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República Árabe Siria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1 510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República Centroafricana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República de Corea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2,267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2,834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311 296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República de Moldova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412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República Democrática del Congo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República Democrática Popular Lao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687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República Dominicana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0,053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0,066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7 278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República Popular Democrática de Corea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824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República Unida de Tanzanía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Rumania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0,198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0,248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27 189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Rwanda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412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Saint Kitts y Nevis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Samoa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San Marino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San Vicente y las Granadinas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Santa Lucía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Santo Tomé y Príncipe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Senegal</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961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Serbia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3 845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Seychelles</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Sierra Leona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Singapur</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0,485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0,606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66 598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Somalia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Sri Lanka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0,055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6 042</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Sudáfrica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0,272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0,340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37 350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Sudán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Sudán del Sur</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0,008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824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Suecia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0,906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1,133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124 408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Suiza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1,151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1,439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158 051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Suriname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687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Tailandia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0,307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0,384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42 156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Tayikistán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0,004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549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Timor-Leste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Togo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0,003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275</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Tonga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Trinidad y Tabago</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0,050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5 493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Túnez</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0,025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3 433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Turkmenistán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0,033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4 531</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Turquía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1,371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1,714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188 260</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Tuvalu</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Ucrania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0,057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0,071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7 827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Uganda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1 099</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Unión Europea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2,500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274 583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Uruguay</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0,087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0,109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11 947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Uzbekistán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0,032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0,040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4 394</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Vanuatu</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137</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Venezuela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0,728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0,910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99 966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Viet Nam</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0,077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0,096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10 573</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Yemen</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1 098</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Zambia</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0,009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0,011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1 236</w:t>
            </w:r>
          </w:p>
        </w:tc>
      </w:tr>
      <w:tr w:rsidR="006E4F84">
        <w:trPr>
          <w:trHeight w:val="288"/>
          <w:jc w:val="center"/>
        </w:trPr>
        <w:tc>
          <w:tcPr>
            <w:tcW w:w="4940" w:type="dxa"/>
            <w:tcBorders>
              <w:top w:val="nil"/>
              <w:left w:val="single" w:sz="4" w:space="0" w:color="auto"/>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rPr>
                <w:rFonts w:cs="Times New Roman"/>
                <w:color w:val="000000"/>
                <w:kern w:val="22"/>
                <w:sz w:val="22"/>
                <w:szCs w:val="22"/>
              </w:rPr>
            </w:pPr>
            <w:r>
              <w:rPr>
                <w:rFonts w:cs="Times New Roman"/>
                <w:color w:val="000000"/>
                <w:sz w:val="22"/>
                <w:szCs w:val="22"/>
              </w:rPr>
              <w:t>Zimbabwe</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0,005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 xml:space="preserve">0,006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color w:val="000000"/>
                <w:kern w:val="22"/>
                <w:sz w:val="22"/>
                <w:szCs w:val="22"/>
              </w:rPr>
            </w:pPr>
            <w:r>
              <w:rPr>
                <w:rFonts w:cs="Times New Roman"/>
                <w:color w:val="000000"/>
                <w:sz w:val="22"/>
                <w:szCs w:val="22"/>
              </w:rPr>
              <w:t>687</w:t>
            </w:r>
          </w:p>
        </w:tc>
      </w:tr>
      <w:tr w:rsidR="006E4F84">
        <w:trPr>
          <w:trHeight w:val="288"/>
          <w:jc w:val="center"/>
        </w:trPr>
        <w:tc>
          <w:tcPr>
            <w:tcW w:w="4940" w:type="dxa"/>
            <w:tcBorders>
              <w:top w:val="nil"/>
              <w:left w:val="single" w:sz="4" w:space="0" w:color="auto"/>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rPr>
                <w:rFonts w:cs="Times New Roman"/>
                <w:b/>
                <w:bCs/>
                <w:color w:val="000000"/>
                <w:kern w:val="22"/>
                <w:sz w:val="22"/>
                <w:szCs w:val="22"/>
              </w:rPr>
            </w:pPr>
            <w:r>
              <w:rPr>
                <w:rFonts w:cs="Times New Roman"/>
                <w:b/>
                <w:bCs/>
                <w:color w:val="000000"/>
                <w:sz w:val="22"/>
                <w:szCs w:val="22"/>
              </w:rPr>
              <w:t>Total</w:t>
            </w:r>
          </w:p>
        </w:tc>
        <w:tc>
          <w:tcPr>
            <w:tcW w:w="1501" w:type="dxa"/>
            <w:tcBorders>
              <w:top w:val="nil"/>
              <w:left w:val="nil"/>
              <w:bottom w:val="single" w:sz="4" w:space="0" w:color="auto"/>
              <w:right w:val="single" w:sz="4" w:space="0" w:color="auto"/>
            </w:tcBorders>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22"/>
                <w:szCs w:val="22"/>
              </w:rPr>
            </w:pPr>
            <w:r>
              <w:rPr>
                <w:rFonts w:cs="Times New Roman"/>
                <w:b/>
                <w:bCs/>
                <w:color w:val="000000"/>
                <w:sz w:val="22"/>
                <w:szCs w:val="22"/>
              </w:rPr>
              <w:t xml:space="preserve">78,010 </w:t>
            </w:r>
          </w:p>
        </w:tc>
        <w:tc>
          <w:tcPr>
            <w:tcW w:w="1580"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22"/>
                <w:szCs w:val="22"/>
              </w:rPr>
            </w:pPr>
            <w:r>
              <w:rPr>
                <w:rFonts w:cs="Times New Roman"/>
                <w:b/>
                <w:bCs/>
                <w:color w:val="000000"/>
                <w:sz w:val="22"/>
                <w:szCs w:val="22"/>
              </w:rPr>
              <w:t xml:space="preserve">100,000 </w:t>
            </w:r>
          </w:p>
        </w:tc>
        <w:tc>
          <w:tcPr>
            <w:tcW w:w="1659" w:type="dxa"/>
            <w:tcBorders>
              <w:top w:val="nil"/>
              <w:left w:val="nil"/>
              <w:bottom w:val="single" w:sz="4" w:space="0" w:color="auto"/>
              <w:right w:val="single" w:sz="4" w:space="0" w:color="auto"/>
            </w:tcBorders>
            <w:noWrap/>
            <w:vAlign w:val="center"/>
          </w:tcPr>
          <w:p w:rsidR="006E4F84" w:rsidRDefault="006E4F84">
            <w:pPr>
              <w:suppressLineNumbers/>
              <w:suppressAutoHyphens/>
              <w:kinsoku w:val="0"/>
              <w:overflowPunct w:val="0"/>
              <w:autoSpaceDE w:val="0"/>
              <w:autoSpaceDN w:val="0"/>
              <w:jc w:val="right"/>
              <w:rPr>
                <w:rFonts w:cs="Times New Roman"/>
                <w:b/>
                <w:bCs/>
                <w:color w:val="000000"/>
                <w:kern w:val="22"/>
                <w:sz w:val="22"/>
                <w:szCs w:val="22"/>
              </w:rPr>
            </w:pPr>
            <w:r>
              <w:rPr>
                <w:rFonts w:cs="Times New Roman"/>
                <w:b/>
                <w:bCs/>
                <w:color w:val="000000"/>
                <w:sz w:val="22"/>
                <w:szCs w:val="22"/>
              </w:rPr>
              <w:t>10 983 320</w:t>
            </w:r>
          </w:p>
        </w:tc>
      </w:tr>
    </w:tbl>
    <w:p w:rsidR="006E4F84" w:rsidRDefault="006E4F84">
      <w:pPr>
        <w:suppressLineNumbers/>
        <w:suppressAutoHyphens/>
        <w:kinsoku w:val="0"/>
        <w:overflowPunct w:val="0"/>
        <w:autoSpaceDE w:val="0"/>
        <w:autoSpaceDN w:val="0"/>
        <w:rPr>
          <w:rFonts w:cs="Times New Roman"/>
          <w:kern w:val="22"/>
          <w:sz w:val="22"/>
          <w:szCs w:val="22"/>
        </w:rPr>
      </w:pPr>
    </w:p>
    <w:p w:rsidR="006E4F84" w:rsidRDefault="006E4F84">
      <w:pPr>
        <w:suppressLineNumbers/>
        <w:suppressAutoHyphens/>
        <w:kinsoku w:val="0"/>
        <w:overflowPunct w:val="0"/>
        <w:autoSpaceDE w:val="0"/>
        <w:autoSpaceDN w:val="0"/>
        <w:jc w:val="center"/>
        <w:rPr>
          <w:rFonts w:cs="Times New Roman"/>
          <w:snapToGrid w:val="0"/>
          <w:kern w:val="22"/>
        </w:rPr>
      </w:pPr>
      <w:r>
        <w:rPr>
          <w:rFonts w:cs="Times New Roman"/>
          <w:snapToGrid w:val="0"/>
        </w:rPr>
        <w:t>__________</w:t>
      </w:r>
    </w:p>
    <w:sectPr w:rsidR="006E4F84" w:rsidSect="006E4F84">
      <w:headerReference w:type="even" r:id="rId11"/>
      <w:headerReference w:type="default" r:id="rId12"/>
      <w:footerReference w:type="even" r:id="rId13"/>
      <w:footerReference w:type="first" r:id="rId14"/>
      <w:type w:val="continuous"/>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F84" w:rsidRDefault="006E4F84">
      <w:pPr>
        <w:rPr>
          <w:rFonts w:cs="Times New Roman"/>
        </w:rPr>
      </w:pPr>
      <w:r>
        <w:rPr>
          <w:rFonts w:cs="Times New Roman"/>
        </w:rPr>
        <w:separator/>
      </w:r>
    </w:p>
  </w:endnote>
  <w:endnote w:type="continuationSeparator" w:id="1">
    <w:p w:rsidR="006E4F84" w:rsidRDefault="006E4F84">
      <w:pPr>
        <w:rPr>
          <w:rFonts w:cs="Times New Roman"/>
        </w:rPr>
      </w:pPr>
      <w:r>
        <w:rPr>
          <w:rFonts w:cs="Times New Roman"/>
        </w:rPr>
        <w:continuationSeparator/>
      </w:r>
    </w:p>
  </w:endnote>
  <w:endnote w:type="continuationNotice" w:id="2">
    <w:p w:rsidR="006E4F84" w:rsidRDefault="006E4F84">
      <w:pPr>
        <w:rPr>
          <w:rFonts w:cs="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altName w:val="Univers"/>
    <w:panose1 w:val="00000000000000000000"/>
    <w:charset w:val="00"/>
    <w:family w:val="swiss"/>
    <w:notTrueType/>
    <w:pitch w:val="variable"/>
    <w:sig w:usb0="00000003" w:usb1="00000000" w:usb2="00000000" w:usb3="00000000" w:csb0="00000001" w:csb1="00000000"/>
  </w:font>
  <w:font w:name="Lucida Grande">
    <w:altName w:val="Segoe UI"/>
    <w:panose1 w:val="00000000000000000000"/>
    <w:charset w:val="00"/>
    <w:family w:val="swiss"/>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84" w:rsidRDefault="006E4F84">
    <w:pPr>
      <w:pStyle w:val="Footer"/>
      <w:tabs>
        <w:tab w:val="clear" w:pos="4320"/>
        <w:tab w:val="clear" w:pos="8640"/>
      </w:tabs>
      <w:ind w:firstLine="0"/>
      <w:rPr>
        <w:kern w:val="22"/>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84" w:rsidRDefault="006E4F84">
    <w:pPr>
      <w:pStyle w:val="Footer"/>
      <w:tabs>
        <w:tab w:val="clear" w:pos="4320"/>
        <w:tab w:val="clear" w:pos="8640"/>
      </w:tabs>
      <w:ind w:firstLine="0"/>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F84" w:rsidRDefault="006E4F84">
      <w:pPr>
        <w:rPr>
          <w:rFonts w:cs="Times New Roman"/>
        </w:rPr>
      </w:pPr>
      <w:r>
        <w:rPr>
          <w:rFonts w:cs="Times New Roman"/>
        </w:rPr>
        <w:separator/>
      </w:r>
    </w:p>
  </w:footnote>
  <w:footnote w:type="continuationSeparator" w:id="1">
    <w:p w:rsidR="006E4F84" w:rsidRDefault="006E4F84">
      <w:pPr>
        <w:rPr>
          <w:rFonts w:cs="Times New Roman"/>
        </w:rPr>
      </w:pPr>
      <w:r>
        <w:rPr>
          <w:rFonts w:cs="Times New Roman"/>
        </w:rPr>
        <w:continuationSeparator/>
      </w:r>
    </w:p>
  </w:footnote>
  <w:footnote w:type="continuationNotice" w:id="2">
    <w:p w:rsidR="006E4F84" w:rsidRDefault="006E4F84">
      <w:pPr>
        <w:rPr>
          <w:rFonts w:cs="Times New Roman"/>
        </w:rPr>
      </w:pPr>
    </w:p>
  </w:footnote>
  <w:footnote w:id="3">
    <w:p w:rsidR="006E4F84" w:rsidRDefault="006E4F84">
      <w:pPr>
        <w:pStyle w:val="decision"/>
        <w:suppressLineNumbers/>
        <w:suppressAutoHyphens/>
        <w:kinsoku w:val="0"/>
        <w:overflowPunct w:val="0"/>
        <w:autoSpaceDE w:val="0"/>
        <w:autoSpaceDN w:val="0"/>
        <w:jc w:val="left"/>
        <w:rPr>
          <w:rFonts w:cs="Times New Roman"/>
        </w:rPr>
      </w:pPr>
      <w:r>
        <w:rPr>
          <w:rStyle w:val="FootnoteReference"/>
          <w:rFonts w:ascii="Times New Roman" w:hAnsi="Times New Roman" w:cs="Times New Roman"/>
          <w:kern w:val="18"/>
          <w:sz w:val="18"/>
          <w:szCs w:val="18"/>
        </w:rPr>
        <w:footnoteRef/>
      </w:r>
      <w:r>
        <w:rPr>
          <w:rFonts w:ascii="Times New Roman" w:hAnsi="Times New Roman" w:cs="Times New Roman"/>
          <w:b w:val="0"/>
          <w:bCs w:val="0"/>
          <w:sz w:val="18"/>
          <w:szCs w:val="18"/>
        </w:rPr>
        <w:t>CBD/ExCOP/2/2.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84" w:rsidRDefault="006E4F84">
    <w:pPr>
      <w:pStyle w:val="Header"/>
      <w:keepLines/>
      <w:suppressLineNumbers/>
      <w:tabs>
        <w:tab w:val="clear" w:pos="4320"/>
        <w:tab w:val="clear" w:pos="8640"/>
      </w:tabs>
      <w:suppressAutoHyphens/>
      <w:ind w:right="5493"/>
      <w:rPr>
        <w:noProof/>
        <w:kern w:val="22"/>
        <w:sz w:val="22"/>
        <w:szCs w:val="22"/>
        <w:lang w:val="en-GB"/>
      </w:rPr>
    </w:pPr>
    <w:r>
      <w:rPr>
        <w:snapToGrid w:val="0"/>
        <w:kern w:val="22"/>
        <w:sz w:val="22"/>
        <w:szCs w:val="22"/>
        <w:lang w:val="en-GB"/>
      </w:rPr>
      <w:t>CBD/DEC/EM/2/1</w:t>
    </w:r>
  </w:p>
  <w:p w:rsidR="006E4F84" w:rsidRDefault="006E4F84">
    <w:pPr>
      <w:pStyle w:val="Header"/>
      <w:keepLines/>
      <w:suppressLineNumbers/>
      <w:tabs>
        <w:tab w:val="clear" w:pos="4320"/>
        <w:tab w:val="clear" w:pos="8640"/>
      </w:tabs>
      <w:suppressAutoHyphens/>
      <w:ind w:right="5493"/>
      <w:rPr>
        <w:noProof/>
        <w:kern w:val="22"/>
        <w:sz w:val="22"/>
        <w:szCs w:val="22"/>
      </w:rPr>
    </w:pPr>
    <w:r>
      <w:rPr>
        <w:sz w:val="22"/>
        <w:szCs w:val="22"/>
      </w:rPr>
      <w:t xml:space="preserve">Página </w:t>
    </w: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2</w:t>
    </w:r>
    <w:r>
      <w:rPr>
        <w:sz w:val="22"/>
        <w:szCs w:val="22"/>
      </w:rPr>
      <w:fldChar w:fldCharType="end"/>
    </w:r>
  </w:p>
  <w:p w:rsidR="006E4F84" w:rsidRDefault="006E4F84">
    <w:pPr>
      <w:pStyle w:val="Header"/>
      <w:keepLines/>
      <w:suppressLineNumbers/>
      <w:tabs>
        <w:tab w:val="clear" w:pos="4320"/>
        <w:tab w:val="clear" w:pos="8640"/>
      </w:tabs>
      <w:suppressAutoHyphens/>
      <w:rPr>
        <w:noProof/>
        <w:kern w:val="22"/>
        <w:sz w:val="22"/>
        <w:szCs w:val="22"/>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84" w:rsidRDefault="006E4F84">
    <w:pPr>
      <w:pStyle w:val="Header"/>
      <w:tabs>
        <w:tab w:val="clear" w:pos="4320"/>
        <w:tab w:val="clear" w:pos="8640"/>
      </w:tabs>
      <w:kinsoku w:val="0"/>
      <w:overflowPunct w:val="0"/>
      <w:autoSpaceDE w:val="0"/>
      <w:autoSpaceDN w:val="0"/>
      <w:ind w:left="6096"/>
      <w:jc w:val="right"/>
      <w:rPr>
        <w:kern w:val="22"/>
        <w:sz w:val="22"/>
        <w:szCs w:val="22"/>
        <w:lang w:val="en-GB"/>
      </w:rPr>
    </w:pPr>
    <w:r>
      <w:rPr>
        <w:snapToGrid w:val="0"/>
        <w:kern w:val="22"/>
        <w:sz w:val="22"/>
        <w:szCs w:val="22"/>
        <w:lang w:val="en-GB"/>
      </w:rPr>
      <w:t>CBD/DEC/EM/2/1</w:t>
    </w:r>
  </w:p>
  <w:p w:rsidR="006E4F84" w:rsidRDefault="006E4F84">
    <w:pPr>
      <w:pStyle w:val="Header"/>
      <w:tabs>
        <w:tab w:val="clear" w:pos="4320"/>
        <w:tab w:val="clear" w:pos="8640"/>
      </w:tabs>
      <w:kinsoku w:val="0"/>
      <w:overflowPunct w:val="0"/>
      <w:autoSpaceDE w:val="0"/>
      <w:autoSpaceDN w:val="0"/>
      <w:ind w:left="6096"/>
      <w:jc w:val="right"/>
      <w:rPr>
        <w:kern w:val="22"/>
        <w:sz w:val="22"/>
        <w:szCs w:val="22"/>
      </w:rPr>
    </w:pPr>
    <w:r>
      <w:rPr>
        <w:sz w:val="22"/>
        <w:szCs w:val="22"/>
      </w:rPr>
      <w:t xml:space="preserve">Página </w:t>
    </w: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9</w:t>
    </w:r>
    <w:r>
      <w:rPr>
        <w:sz w:val="22"/>
        <w:szCs w:val="22"/>
      </w:rPr>
      <w:fldChar w:fldCharType="end"/>
    </w:r>
  </w:p>
  <w:p w:rsidR="006E4F84" w:rsidRDefault="006E4F84">
    <w:pPr>
      <w:pStyle w:val="Header"/>
      <w:tabs>
        <w:tab w:val="clear" w:pos="4320"/>
        <w:tab w:val="clear" w:pos="8640"/>
      </w:tabs>
      <w:kinsoku w:val="0"/>
      <w:overflowPunct w:val="0"/>
      <w:autoSpaceDE w:val="0"/>
      <w:autoSpaceDN w:val="0"/>
      <w:jc w:val="right"/>
      <w:rPr>
        <w:kern w:val="22"/>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F4B"/>
    <w:multiLevelType w:val="hybridMultilevel"/>
    <w:tmpl w:val="5C2EC89C"/>
    <w:lvl w:ilvl="0" w:tplc="FA74DA18">
      <w:start w:val="2"/>
      <w:numFmt w:val="decimal"/>
      <w:lvlText w:val="%1."/>
      <w:lvlJc w:val="left"/>
      <w:pPr>
        <w:ind w:left="1080" w:hanging="360"/>
      </w:pPr>
      <w:rPr>
        <w:rFonts w:ascii="Times New Roman" w:hAnsi="Times New Roman" w:cs="Times New Roman" w:hint="default"/>
        <w:i/>
        <w:iCs/>
      </w:rPr>
    </w:lvl>
    <w:lvl w:ilvl="1" w:tplc="10090019">
      <w:start w:val="1"/>
      <w:numFmt w:val="lowerLetter"/>
      <w:lvlText w:val="%2."/>
      <w:lvlJc w:val="left"/>
      <w:pPr>
        <w:ind w:left="1800" w:hanging="360"/>
      </w:pPr>
      <w:rPr>
        <w:rFonts w:ascii="Times New Roman" w:hAnsi="Times New Roman" w:cs="Times New Roman"/>
      </w:rPr>
    </w:lvl>
    <w:lvl w:ilvl="2" w:tplc="1009001B">
      <w:start w:val="1"/>
      <w:numFmt w:val="lowerRoman"/>
      <w:lvlText w:val="%3."/>
      <w:lvlJc w:val="right"/>
      <w:pPr>
        <w:ind w:left="2520" w:hanging="180"/>
      </w:pPr>
      <w:rPr>
        <w:rFonts w:ascii="Times New Roman" w:hAnsi="Times New Roman" w:cs="Times New Roman"/>
      </w:rPr>
    </w:lvl>
    <w:lvl w:ilvl="3" w:tplc="1009000F">
      <w:start w:val="1"/>
      <w:numFmt w:val="decimal"/>
      <w:lvlText w:val="%4."/>
      <w:lvlJc w:val="left"/>
      <w:pPr>
        <w:ind w:left="3240" w:hanging="360"/>
      </w:pPr>
      <w:rPr>
        <w:rFonts w:ascii="Times New Roman" w:hAnsi="Times New Roman" w:cs="Times New Roman"/>
      </w:rPr>
    </w:lvl>
    <w:lvl w:ilvl="4" w:tplc="10090019">
      <w:start w:val="1"/>
      <w:numFmt w:val="lowerLetter"/>
      <w:lvlText w:val="%5."/>
      <w:lvlJc w:val="left"/>
      <w:pPr>
        <w:ind w:left="3960" w:hanging="360"/>
      </w:pPr>
      <w:rPr>
        <w:rFonts w:ascii="Times New Roman" w:hAnsi="Times New Roman" w:cs="Times New Roman"/>
      </w:rPr>
    </w:lvl>
    <w:lvl w:ilvl="5" w:tplc="1009001B">
      <w:start w:val="1"/>
      <w:numFmt w:val="lowerRoman"/>
      <w:lvlText w:val="%6."/>
      <w:lvlJc w:val="right"/>
      <w:pPr>
        <w:ind w:left="4680" w:hanging="180"/>
      </w:pPr>
      <w:rPr>
        <w:rFonts w:ascii="Times New Roman" w:hAnsi="Times New Roman" w:cs="Times New Roman"/>
      </w:rPr>
    </w:lvl>
    <w:lvl w:ilvl="6" w:tplc="1009000F">
      <w:start w:val="1"/>
      <w:numFmt w:val="decimal"/>
      <w:lvlText w:val="%7."/>
      <w:lvlJc w:val="left"/>
      <w:pPr>
        <w:ind w:left="5400" w:hanging="360"/>
      </w:pPr>
      <w:rPr>
        <w:rFonts w:ascii="Times New Roman" w:hAnsi="Times New Roman" w:cs="Times New Roman"/>
      </w:rPr>
    </w:lvl>
    <w:lvl w:ilvl="7" w:tplc="10090019">
      <w:start w:val="1"/>
      <w:numFmt w:val="lowerLetter"/>
      <w:lvlText w:val="%8."/>
      <w:lvlJc w:val="left"/>
      <w:pPr>
        <w:ind w:left="6120" w:hanging="360"/>
      </w:pPr>
      <w:rPr>
        <w:rFonts w:ascii="Times New Roman" w:hAnsi="Times New Roman" w:cs="Times New Roman"/>
      </w:rPr>
    </w:lvl>
    <w:lvl w:ilvl="8" w:tplc="1009001B">
      <w:start w:val="1"/>
      <w:numFmt w:val="lowerRoman"/>
      <w:lvlText w:val="%9."/>
      <w:lvlJc w:val="right"/>
      <w:pPr>
        <w:ind w:left="6840" w:hanging="180"/>
      </w:pPr>
      <w:rPr>
        <w:rFonts w:ascii="Times New Roman" w:hAnsi="Times New Roman" w:cs="Times New Roman"/>
      </w:rPr>
    </w:lvl>
  </w:abstractNum>
  <w:abstractNum w:abstractNumId="1">
    <w:nsid w:val="03032B67"/>
    <w:multiLevelType w:val="hybridMultilevel"/>
    <w:tmpl w:val="909AF67E"/>
    <w:lvl w:ilvl="0" w:tplc="1009000F">
      <w:start w:val="1"/>
      <w:numFmt w:val="decimal"/>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
    <w:nsid w:val="03D37091"/>
    <w:multiLevelType w:val="hybridMultilevel"/>
    <w:tmpl w:val="0E067840"/>
    <w:lvl w:ilvl="0" w:tplc="F89AE9DE">
      <w:start w:val="1"/>
      <w:numFmt w:val="lowerLetter"/>
      <w:lvlText w:val="(%1)"/>
      <w:lvlJc w:val="left"/>
      <w:pPr>
        <w:ind w:left="1440" w:hanging="360"/>
      </w:pPr>
      <w:rPr>
        <w:rFonts w:ascii="Times New Roman" w:hAnsi="Times New Roman" w:cs="Times New Roman" w:hint="default"/>
        <w:b w:val="0"/>
        <w:bCs w:val="0"/>
        <w:i w:val="0"/>
        <w:iCs w:val="0"/>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bCs w:val="0"/>
        <w:sz w:val="22"/>
        <w:szCs w:val="22"/>
      </w:rPr>
    </w:lvl>
    <w:lvl w:ilvl="1" w:tplc="08090019">
      <w:start w:val="1"/>
      <w:numFmt w:val="lowerLetter"/>
      <w:lvlText w:val="%2."/>
      <w:lvlJc w:val="left"/>
      <w:pPr>
        <w:tabs>
          <w:tab w:val="num" w:pos="2214"/>
        </w:tabs>
        <w:ind w:left="2214" w:hanging="360"/>
      </w:pPr>
      <w:rPr>
        <w:rFonts w:ascii="Times New Roman" w:hAnsi="Times New Roman" w:cs="Times New Roman"/>
      </w:rPr>
    </w:lvl>
    <w:lvl w:ilvl="2" w:tplc="0809001B">
      <w:start w:val="1"/>
      <w:numFmt w:val="lowerRoman"/>
      <w:lvlText w:val="%3."/>
      <w:lvlJc w:val="right"/>
      <w:pPr>
        <w:tabs>
          <w:tab w:val="num" w:pos="2934"/>
        </w:tabs>
        <w:ind w:left="2934" w:hanging="180"/>
      </w:pPr>
      <w:rPr>
        <w:rFonts w:ascii="Times New Roman" w:hAnsi="Times New Roman" w:cs="Times New Roman"/>
      </w:rPr>
    </w:lvl>
    <w:lvl w:ilvl="3" w:tplc="0809000F">
      <w:start w:val="1"/>
      <w:numFmt w:val="decimal"/>
      <w:lvlText w:val="%4."/>
      <w:lvlJc w:val="left"/>
      <w:pPr>
        <w:tabs>
          <w:tab w:val="num" w:pos="3654"/>
        </w:tabs>
        <w:ind w:left="3654" w:hanging="360"/>
      </w:pPr>
      <w:rPr>
        <w:rFonts w:ascii="Times New Roman" w:hAnsi="Times New Roman" w:cs="Times New Roman"/>
      </w:rPr>
    </w:lvl>
    <w:lvl w:ilvl="4" w:tplc="08090019">
      <w:start w:val="1"/>
      <w:numFmt w:val="lowerLetter"/>
      <w:lvlText w:val="%5."/>
      <w:lvlJc w:val="left"/>
      <w:pPr>
        <w:tabs>
          <w:tab w:val="num" w:pos="4374"/>
        </w:tabs>
        <w:ind w:left="4374" w:hanging="360"/>
      </w:pPr>
      <w:rPr>
        <w:rFonts w:ascii="Times New Roman" w:hAnsi="Times New Roman" w:cs="Times New Roman"/>
      </w:rPr>
    </w:lvl>
    <w:lvl w:ilvl="5" w:tplc="0809001B">
      <w:start w:val="1"/>
      <w:numFmt w:val="lowerRoman"/>
      <w:lvlText w:val="%6."/>
      <w:lvlJc w:val="right"/>
      <w:pPr>
        <w:tabs>
          <w:tab w:val="num" w:pos="5094"/>
        </w:tabs>
        <w:ind w:left="5094" w:hanging="180"/>
      </w:pPr>
      <w:rPr>
        <w:rFonts w:ascii="Times New Roman" w:hAnsi="Times New Roman" w:cs="Times New Roman"/>
      </w:rPr>
    </w:lvl>
    <w:lvl w:ilvl="6" w:tplc="0809000F">
      <w:start w:val="1"/>
      <w:numFmt w:val="decimal"/>
      <w:lvlText w:val="%7."/>
      <w:lvlJc w:val="left"/>
      <w:pPr>
        <w:tabs>
          <w:tab w:val="num" w:pos="5814"/>
        </w:tabs>
        <w:ind w:left="5814" w:hanging="360"/>
      </w:pPr>
      <w:rPr>
        <w:rFonts w:ascii="Times New Roman" w:hAnsi="Times New Roman" w:cs="Times New Roman"/>
      </w:rPr>
    </w:lvl>
    <w:lvl w:ilvl="7" w:tplc="08090019">
      <w:start w:val="1"/>
      <w:numFmt w:val="lowerLetter"/>
      <w:lvlText w:val="%8."/>
      <w:lvlJc w:val="left"/>
      <w:pPr>
        <w:tabs>
          <w:tab w:val="num" w:pos="6534"/>
        </w:tabs>
        <w:ind w:left="6534" w:hanging="360"/>
      </w:pPr>
      <w:rPr>
        <w:rFonts w:ascii="Times New Roman" w:hAnsi="Times New Roman" w:cs="Times New Roman"/>
      </w:rPr>
    </w:lvl>
    <w:lvl w:ilvl="8" w:tplc="0809001B">
      <w:start w:val="1"/>
      <w:numFmt w:val="lowerRoman"/>
      <w:lvlText w:val="%9."/>
      <w:lvlJc w:val="right"/>
      <w:pPr>
        <w:tabs>
          <w:tab w:val="num" w:pos="7254"/>
        </w:tabs>
        <w:ind w:left="7254" w:hanging="180"/>
      </w:pPr>
      <w:rPr>
        <w:rFonts w:ascii="Times New Roman" w:hAnsi="Times New Roman" w:cs="Times New Roman"/>
      </w:rPr>
    </w:lvl>
  </w:abstractNum>
  <w:abstractNum w:abstractNumId="4">
    <w:nsid w:val="08C0643C"/>
    <w:multiLevelType w:val="hybridMultilevel"/>
    <w:tmpl w:val="85EC2276"/>
    <w:lvl w:ilvl="0" w:tplc="040C0015">
      <w:start w:val="1"/>
      <w:numFmt w:val="upperLetter"/>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5">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
    <w:nsid w:val="13334C47"/>
    <w:multiLevelType w:val="hybridMultilevel"/>
    <w:tmpl w:val="A820631E"/>
    <w:lvl w:ilvl="0" w:tplc="C4E2BA90">
      <w:start w:val="23"/>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7">
    <w:nsid w:val="146B132F"/>
    <w:multiLevelType w:val="hybridMultilevel"/>
    <w:tmpl w:val="30BAA3BE"/>
    <w:lvl w:ilvl="0" w:tplc="CE0E80CE">
      <w:start w:val="1"/>
      <w:numFmt w:val="decimal"/>
      <w:lvlText w:val="%1."/>
      <w:lvlJc w:val="left"/>
      <w:pPr>
        <w:ind w:left="450" w:hanging="360"/>
      </w:pPr>
      <w:rPr>
        <w:rFonts w:ascii="Times New Roman" w:hAnsi="Times New Roman" w:cs="Times New Roman"/>
      </w:rPr>
    </w:lvl>
    <w:lvl w:ilvl="1" w:tplc="040C0019">
      <w:start w:val="1"/>
      <w:numFmt w:val="lowerLetter"/>
      <w:lvlText w:val="%2."/>
      <w:lvlJc w:val="left"/>
      <w:pPr>
        <w:ind w:left="1170" w:hanging="360"/>
      </w:pPr>
      <w:rPr>
        <w:rFonts w:ascii="Times New Roman" w:hAnsi="Times New Roman" w:cs="Times New Roman"/>
      </w:rPr>
    </w:lvl>
    <w:lvl w:ilvl="2" w:tplc="040C001B">
      <w:start w:val="1"/>
      <w:numFmt w:val="lowerRoman"/>
      <w:lvlText w:val="%3."/>
      <w:lvlJc w:val="right"/>
      <w:pPr>
        <w:ind w:left="1890" w:hanging="180"/>
      </w:pPr>
      <w:rPr>
        <w:rFonts w:ascii="Times New Roman" w:hAnsi="Times New Roman" w:cs="Times New Roman"/>
      </w:rPr>
    </w:lvl>
    <w:lvl w:ilvl="3" w:tplc="040C000F">
      <w:start w:val="1"/>
      <w:numFmt w:val="decimal"/>
      <w:lvlText w:val="%4."/>
      <w:lvlJc w:val="left"/>
      <w:pPr>
        <w:ind w:left="2610" w:hanging="360"/>
      </w:pPr>
      <w:rPr>
        <w:rFonts w:ascii="Times New Roman" w:hAnsi="Times New Roman" w:cs="Times New Roman"/>
      </w:rPr>
    </w:lvl>
    <w:lvl w:ilvl="4" w:tplc="040C0019">
      <w:start w:val="1"/>
      <w:numFmt w:val="lowerLetter"/>
      <w:lvlText w:val="%5."/>
      <w:lvlJc w:val="left"/>
      <w:pPr>
        <w:ind w:left="3330" w:hanging="360"/>
      </w:pPr>
      <w:rPr>
        <w:rFonts w:ascii="Times New Roman" w:hAnsi="Times New Roman" w:cs="Times New Roman"/>
      </w:rPr>
    </w:lvl>
    <w:lvl w:ilvl="5" w:tplc="040C001B">
      <w:start w:val="1"/>
      <w:numFmt w:val="lowerRoman"/>
      <w:lvlText w:val="%6."/>
      <w:lvlJc w:val="right"/>
      <w:pPr>
        <w:ind w:left="4050" w:hanging="180"/>
      </w:pPr>
      <w:rPr>
        <w:rFonts w:ascii="Times New Roman" w:hAnsi="Times New Roman" w:cs="Times New Roman"/>
      </w:rPr>
    </w:lvl>
    <w:lvl w:ilvl="6" w:tplc="040C000F">
      <w:start w:val="1"/>
      <w:numFmt w:val="decimal"/>
      <w:lvlText w:val="%7."/>
      <w:lvlJc w:val="left"/>
      <w:pPr>
        <w:ind w:left="4770" w:hanging="360"/>
      </w:pPr>
      <w:rPr>
        <w:rFonts w:ascii="Times New Roman" w:hAnsi="Times New Roman" w:cs="Times New Roman"/>
      </w:rPr>
    </w:lvl>
    <w:lvl w:ilvl="7" w:tplc="040C0019">
      <w:start w:val="1"/>
      <w:numFmt w:val="lowerLetter"/>
      <w:lvlText w:val="%8."/>
      <w:lvlJc w:val="left"/>
      <w:pPr>
        <w:ind w:left="5490" w:hanging="360"/>
      </w:pPr>
      <w:rPr>
        <w:rFonts w:ascii="Times New Roman" w:hAnsi="Times New Roman" w:cs="Times New Roman"/>
      </w:rPr>
    </w:lvl>
    <w:lvl w:ilvl="8" w:tplc="040C001B">
      <w:start w:val="1"/>
      <w:numFmt w:val="lowerRoman"/>
      <w:lvlText w:val="%9."/>
      <w:lvlJc w:val="right"/>
      <w:pPr>
        <w:ind w:left="6210" w:hanging="180"/>
      </w:pPr>
      <w:rPr>
        <w:rFonts w:ascii="Times New Roman" w:hAnsi="Times New Roman" w:cs="Times New Roman"/>
      </w:rPr>
    </w:lvl>
  </w:abstractNum>
  <w:abstractNum w:abstractNumId="8">
    <w:nsid w:val="158A11C9"/>
    <w:multiLevelType w:val="multilevel"/>
    <w:tmpl w:val="0574AAAE"/>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9">
    <w:nsid w:val="171B29A2"/>
    <w:multiLevelType w:val="hybridMultilevel"/>
    <w:tmpl w:val="EF3EA4AA"/>
    <w:lvl w:ilvl="0" w:tplc="7F80F2C0">
      <w:start w:val="1"/>
      <w:numFmt w:val="decimal"/>
      <w:lvlText w:val="(%1)"/>
      <w:lvlJc w:val="left"/>
      <w:pPr>
        <w:ind w:left="720" w:hanging="360"/>
      </w:pPr>
      <w:rPr>
        <w:rFonts w:ascii="Times New Roman" w:hAnsi="Times New Roman" w:cs="Times New Roman" w:hint="default"/>
        <w:i w:val="0"/>
        <w:i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19477FA5"/>
    <w:multiLevelType w:val="hybridMultilevel"/>
    <w:tmpl w:val="8512A1B4"/>
    <w:lvl w:ilvl="0" w:tplc="13F6269C">
      <w:start w:val="1"/>
      <w:numFmt w:val="decimal"/>
      <w:lvlText w:val="%1."/>
      <w:lvlJc w:val="left"/>
      <w:pPr>
        <w:tabs>
          <w:tab w:val="num" w:pos="720"/>
        </w:tabs>
      </w:pPr>
      <w:rPr>
        <w:rFonts w:ascii="Times New Roman" w:hAnsi="Times New Roman" w:cs="Times New Roman" w:hint="default"/>
      </w:rPr>
    </w:lvl>
    <w:lvl w:ilvl="1" w:tplc="561613B4">
      <w:start w:val="1"/>
      <w:numFmt w:val="lowerLetter"/>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1">
    <w:nsid w:val="1A61237B"/>
    <w:multiLevelType w:val="hybridMultilevel"/>
    <w:tmpl w:val="54EC393A"/>
    <w:lvl w:ilvl="0" w:tplc="C0E6BAF4">
      <w:start w:val="1"/>
      <w:numFmt w:val="upperLetter"/>
      <w:lvlText w:val="%1."/>
      <w:lvlJc w:val="left"/>
      <w:pPr>
        <w:ind w:left="1800" w:hanging="360"/>
      </w:pPr>
      <w:rPr>
        <w:rFonts w:ascii="Times New Roman" w:hAnsi="Times New Roman" w:cs="Times New Roman"/>
        <w:i w:val="0"/>
        <w:iCs w:val="0"/>
      </w:rPr>
    </w:lvl>
    <w:lvl w:ilvl="1" w:tplc="040C0019">
      <w:start w:val="1"/>
      <w:numFmt w:val="lowerLetter"/>
      <w:lvlText w:val="%2."/>
      <w:lvlJc w:val="left"/>
      <w:pPr>
        <w:ind w:left="2520" w:hanging="360"/>
      </w:pPr>
      <w:rPr>
        <w:rFonts w:ascii="Times New Roman" w:hAnsi="Times New Roman" w:cs="Times New Roman"/>
      </w:rPr>
    </w:lvl>
    <w:lvl w:ilvl="2" w:tplc="040C001B">
      <w:start w:val="1"/>
      <w:numFmt w:val="lowerRoman"/>
      <w:lvlText w:val="%3."/>
      <w:lvlJc w:val="right"/>
      <w:pPr>
        <w:ind w:left="3240" w:hanging="180"/>
      </w:pPr>
      <w:rPr>
        <w:rFonts w:ascii="Times New Roman" w:hAnsi="Times New Roman" w:cs="Times New Roman"/>
      </w:rPr>
    </w:lvl>
    <w:lvl w:ilvl="3" w:tplc="040C000F">
      <w:start w:val="1"/>
      <w:numFmt w:val="decimal"/>
      <w:lvlText w:val="%4."/>
      <w:lvlJc w:val="left"/>
      <w:pPr>
        <w:ind w:left="3960" w:hanging="360"/>
      </w:pPr>
      <w:rPr>
        <w:rFonts w:ascii="Times New Roman" w:hAnsi="Times New Roman" w:cs="Times New Roman"/>
      </w:rPr>
    </w:lvl>
    <w:lvl w:ilvl="4" w:tplc="040C0019">
      <w:start w:val="1"/>
      <w:numFmt w:val="lowerLetter"/>
      <w:lvlText w:val="%5."/>
      <w:lvlJc w:val="left"/>
      <w:pPr>
        <w:ind w:left="4680" w:hanging="360"/>
      </w:pPr>
      <w:rPr>
        <w:rFonts w:ascii="Times New Roman" w:hAnsi="Times New Roman" w:cs="Times New Roman"/>
      </w:rPr>
    </w:lvl>
    <w:lvl w:ilvl="5" w:tplc="040C001B">
      <w:start w:val="1"/>
      <w:numFmt w:val="lowerRoman"/>
      <w:lvlText w:val="%6."/>
      <w:lvlJc w:val="right"/>
      <w:pPr>
        <w:ind w:left="5400" w:hanging="180"/>
      </w:pPr>
      <w:rPr>
        <w:rFonts w:ascii="Times New Roman" w:hAnsi="Times New Roman" w:cs="Times New Roman"/>
      </w:rPr>
    </w:lvl>
    <w:lvl w:ilvl="6" w:tplc="040C000F">
      <w:start w:val="1"/>
      <w:numFmt w:val="decimal"/>
      <w:lvlText w:val="%7."/>
      <w:lvlJc w:val="left"/>
      <w:pPr>
        <w:ind w:left="6120" w:hanging="360"/>
      </w:pPr>
      <w:rPr>
        <w:rFonts w:ascii="Times New Roman" w:hAnsi="Times New Roman" w:cs="Times New Roman"/>
      </w:rPr>
    </w:lvl>
    <w:lvl w:ilvl="7" w:tplc="040C0019">
      <w:start w:val="1"/>
      <w:numFmt w:val="lowerLetter"/>
      <w:lvlText w:val="%8."/>
      <w:lvlJc w:val="left"/>
      <w:pPr>
        <w:ind w:left="6840" w:hanging="360"/>
      </w:pPr>
      <w:rPr>
        <w:rFonts w:ascii="Times New Roman" w:hAnsi="Times New Roman" w:cs="Times New Roman"/>
      </w:rPr>
    </w:lvl>
    <w:lvl w:ilvl="8" w:tplc="040C001B">
      <w:start w:val="1"/>
      <w:numFmt w:val="lowerRoman"/>
      <w:lvlText w:val="%9."/>
      <w:lvlJc w:val="right"/>
      <w:pPr>
        <w:ind w:left="7560" w:hanging="180"/>
      </w:pPr>
      <w:rPr>
        <w:rFonts w:ascii="Times New Roman" w:hAnsi="Times New Roman" w:cs="Times New Roman"/>
      </w:rPr>
    </w:lvl>
  </w:abstractNum>
  <w:abstractNum w:abstractNumId="12">
    <w:nsid w:val="1BC2059D"/>
    <w:multiLevelType w:val="hybridMultilevel"/>
    <w:tmpl w:val="74544F06"/>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3">
    <w:nsid w:val="1D7132C1"/>
    <w:multiLevelType w:val="hybridMultilevel"/>
    <w:tmpl w:val="577A6E1A"/>
    <w:lvl w:ilvl="0" w:tplc="1682C8F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1FAA70AB"/>
    <w:multiLevelType w:val="hybridMultilevel"/>
    <w:tmpl w:val="4980173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1FE83F4D"/>
    <w:multiLevelType w:val="hybridMultilevel"/>
    <w:tmpl w:val="1BCA53E0"/>
    <w:lvl w:ilvl="0" w:tplc="1009000F">
      <w:start w:val="20"/>
      <w:numFmt w:val="decimal"/>
      <w:lvlText w:val="%1."/>
      <w:lvlJc w:val="left"/>
      <w:pPr>
        <w:ind w:left="1080" w:hanging="360"/>
      </w:pPr>
      <w:rPr>
        <w:rFonts w:ascii="Times New Roman" w:hAnsi="Times New Roman" w:cs="Times New Roman" w:hint="default"/>
      </w:rPr>
    </w:lvl>
    <w:lvl w:ilvl="1" w:tplc="10090019">
      <w:start w:val="1"/>
      <w:numFmt w:val="lowerLetter"/>
      <w:lvlText w:val="%2."/>
      <w:lvlJc w:val="left"/>
      <w:pPr>
        <w:ind w:left="1800" w:hanging="360"/>
      </w:pPr>
      <w:rPr>
        <w:rFonts w:ascii="Times New Roman" w:hAnsi="Times New Roman" w:cs="Times New Roman"/>
      </w:rPr>
    </w:lvl>
    <w:lvl w:ilvl="2" w:tplc="1009001B">
      <w:start w:val="1"/>
      <w:numFmt w:val="lowerRoman"/>
      <w:lvlText w:val="%3."/>
      <w:lvlJc w:val="right"/>
      <w:pPr>
        <w:ind w:left="2520" w:hanging="180"/>
      </w:pPr>
      <w:rPr>
        <w:rFonts w:ascii="Times New Roman" w:hAnsi="Times New Roman" w:cs="Times New Roman"/>
      </w:rPr>
    </w:lvl>
    <w:lvl w:ilvl="3" w:tplc="1009000F">
      <w:start w:val="1"/>
      <w:numFmt w:val="decimal"/>
      <w:lvlText w:val="%4."/>
      <w:lvlJc w:val="left"/>
      <w:pPr>
        <w:ind w:left="3240" w:hanging="360"/>
      </w:pPr>
      <w:rPr>
        <w:rFonts w:ascii="Times New Roman" w:hAnsi="Times New Roman" w:cs="Times New Roman"/>
      </w:rPr>
    </w:lvl>
    <w:lvl w:ilvl="4" w:tplc="10090019">
      <w:start w:val="1"/>
      <w:numFmt w:val="lowerLetter"/>
      <w:lvlText w:val="%5."/>
      <w:lvlJc w:val="left"/>
      <w:pPr>
        <w:ind w:left="3960" w:hanging="360"/>
      </w:pPr>
      <w:rPr>
        <w:rFonts w:ascii="Times New Roman" w:hAnsi="Times New Roman" w:cs="Times New Roman"/>
      </w:rPr>
    </w:lvl>
    <w:lvl w:ilvl="5" w:tplc="1009001B">
      <w:start w:val="1"/>
      <w:numFmt w:val="lowerRoman"/>
      <w:lvlText w:val="%6."/>
      <w:lvlJc w:val="right"/>
      <w:pPr>
        <w:ind w:left="4680" w:hanging="180"/>
      </w:pPr>
      <w:rPr>
        <w:rFonts w:ascii="Times New Roman" w:hAnsi="Times New Roman" w:cs="Times New Roman"/>
      </w:rPr>
    </w:lvl>
    <w:lvl w:ilvl="6" w:tplc="1009000F">
      <w:start w:val="1"/>
      <w:numFmt w:val="decimal"/>
      <w:lvlText w:val="%7."/>
      <w:lvlJc w:val="left"/>
      <w:pPr>
        <w:ind w:left="5400" w:hanging="360"/>
      </w:pPr>
      <w:rPr>
        <w:rFonts w:ascii="Times New Roman" w:hAnsi="Times New Roman" w:cs="Times New Roman"/>
      </w:rPr>
    </w:lvl>
    <w:lvl w:ilvl="7" w:tplc="10090019">
      <w:start w:val="1"/>
      <w:numFmt w:val="lowerLetter"/>
      <w:lvlText w:val="%8."/>
      <w:lvlJc w:val="left"/>
      <w:pPr>
        <w:ind w:left="6120" w:hanging="360"/>
      </w:pPr>
      <w:rPr>
        <w:rFonts w:ascii="Times New Roman" w:hAnsi="Times New Roman" w:cs="Times New Roman"/>
      </w:rPr>
    </w:lvl>
    <w:lvl w:ilvl="8" w:tplc="1009001B">
      <w:start w:val="1"/>
      <w:numFmt w:val="lowerRoman"/>
      <w:lvlText w:val="%9."/>
      <w:lvlJc w:val="right"/>
      <w:pPr>
        <w:ind w:left="6840" w:hanging="180"/>
      </w:pPr>
      <w:rPr>
        <w:rFonts w:ascii="Times New Roman" w:hAnsi="Times New Roman" w:cs="Times New Roman"/>
      </w:rPr>
    </w:lvl>
  </w:abstractNum>
  <w:abstractNum w:abstractNumId="16">
    <w:nsid w:val="1FFF2C6B"/>
    <w:multiLevelType w:val="multilevel"/>
    <w:tmpl w:val="4B928656"/>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7">
    <w:nsid w:val="23F34B8F"/>
    <w:multiLevelType w:val="hybridMultilevel"/>
    <w:tmpl w:val="553EA020"/>
    <w:lvl w:ilvl="0" w:tplc="9D24F478">
      <w:start w:val="1"/>
      <w:numFmt w:val="decimal"/>
      <w:lvlText w:val="%1."/>
      <w:lvlJc w:val="left"/>
      <w:pPr>
        <w:ind w:left="1440" w:hanging="720"/>
      </w:pPr>
      <w:rPr>
        <w:rFonts w:ascii="Times New Roman" w:eastAsia="Times New Roman" w:hAnsi="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8">
    <w:nsid w:val="25927DE4"/>
    <w:multiLevelType w:val="hybridMultilevel"/>
    <w:tmpl w:val="9E1C31C6"/>
    <w:lvl w:ilvl="0" w:tplc="88BAD95E">
      <w:start w:val="1"/>
      <w:numFmt w:val="upperRoman"/>
      <w:lvlText w:val="%1."/>
      <w:lvlJc w:val="left"/>
      <w:pPr>
        <w:ind w:left="1080" w:hanging="72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9">
    <w:nsid w:val="25C77BB4"/>
    <w:multiLevelType w:val="hybridMultilevel"/>
    <w:tmpl w:val="DE32E8F8"/>
    <w:lvl w:ilvl="0" w:tplc="3A6CBDCC">
      <w:start w:val="1"/>
      <w:numFmt w:val="decimal"/>
      <w:lvlText w:val="%1."/>
      <w:lvlJc w:val="left"/>
      <w:pPr>
        <w:ind w:left="2520" w:hanging="360"/>
      </w:pPr>
      <w:rPr>
        <w:rFonts w:ascii="Times New Roman" w:hAnsi="Times New Roman" w:cs="Times New Roman"/>
        <w:i w:val="0"/>
        <w:iCs w:val="0"/>
      </w:rPr>
    </w:lvl>
    <w:lvl w:ilvl="1" w:tplc="CAB40D4C">
      <w:start w:val="1"/>
      <w:numFmt w:val="lowerLetter"/>
      <w:lvlText w:val="(%2)"/>
      <w:lvlJc w:val="left"/>
      <w:pPr>
        <w:ind w:left="3240" w:hanging="360"/>
      </w:pPr>
      <w:rPr>
        <w:rFonts w:ascii="Times New Roman" w:hAnsi="Times New Roman" w:cs="Times New Roman" w:hint="default"/>
        <w:b w:val="0"/>
        <w:bCs w:val="0"/>
      </w:rPr>
    </w:lvl>
    <w:lvl w:ilvl="2" w:tplc="1009001B">
      <w:start w:val="1"/>
      <w:numFmt w:val="lowerRoman"/>
      <w:lvlText w:val="%3."/>
      <w:lvlJc w:val="right"/>
      <w:pPr>
        <w:ind w:left="3960" w:hanging="180"/>
      </w:pPr>
      <w:rPr>
        <w:rFonts w:ascii="Times New Roman" w:hAnsi="Times New Roman" w:cs="Times New Roman"/>
      </w:rPr>
    </w:lvl>
    <w:lvl w:ilvl="3" w:tplc="1009000F">
      <w:start w:val="1"/>
      <w:numFmt w:val="decimal"/>
      <w:lvlText w:val="%4."/>
      <w:lvlJc w:val="left"/>
      <w:pPr>
        <w:ind w:left="4680" w:hanging="360"/>
      </w:pPr>
      <w:rPr>
        <w:rFonts w:ascii="Times New Roman" w:hAnsi="Times New Roman" w:cs="Times New Roman"/>
      </w:rPr>
    </w:lvl>
    <w:lvl w:ilvl="4" w:tplc="10090019">
      <w:start w:val="1"/>
      <w:numFmt w:val="lowerLetter"/>
      <w:lvlText w:val="%5."/>
      <w:lvlJc w:val="left"/>
      <w:pPr>
        <w:ind w:left="5400" w:hanging="360"/>
      </w:pPr>
      <w:rPr>
        <w:rFonts w:ascii="Times New Roman" w:hAnsi="Times New Roman" w:cs="Times New Roman"/>
      </w:rPr>
    </w:lvl>
    <w:lvl w:ilvl="5" w:tplc="1009001B">
      <w:start w:val="1"/>
      <w:numFmt w:val="lowerRoman"/>
      <w:lvlText w:val="%6."/>
      <w:lvlJc w:val="right"/>
      <w:pPr>
        <w:ind w:left="6120" w:hanging="180"/>
      </w:pPr>
      <w:rPr>
        <w:rFonts w:ascii="Times New Roman" w:hAnsi="Times New Roman" w:cs="Times New Roman"/>
      </w:rPr>
    </w:lvl>
    <w:lvl w:ilvl="6" w:tplc="1009000F">
      <w:start w:val="1"/>
      <w:numFmt w:val="decimal"/>
      <w:lvlText w:val="%7."/>
      <w:lvlJc w:val="left"/>
      <w:pPr>
        <w:ind w:left="6840" w:hanging="360"/>
      </w:pPr>
      <w:rPr>
        <w:rFonts w:ascii="Times New Roman" w:hAnsi="Times New Roman" w:cs="Times New Roman"/>
      </w:rPr>
    </w:lvl>
    <w:lvl w:ilvl="7" w:tplc="10090019">
      <w:start w:val="1"/>
      <w:numFmt w:val="lowerLetter"/>
      <w:lvlText w:val="%8."/>
      <w:lvlJc w:val="left"/>
      <w:pPr>
        <w:ind w:left="7560" w:hanging="360"/>
      </w:pPr>
      <w:rPr>
        <w:rFonts w:ascii="Times New Roman" w:hAnsi="Times New Roman" w:cs="Times New Roman"/>
      </w:rPr>
    </w:lvl>
    <w:lvl w:ilvl="8" w:tplc="1009001B">
      <w:start w:val="1"/>
      <w:numFmt w:val="lowerRoman"/>
      <w:lvlText w:val="%9."/>
      <w:lvlJc w:val="right"/>
      <w:pPr>
        <w:ind w:left="8280" w:hanging="180"/>
      </w:pPr>
      <w:rPr>
        <w:rFonts w:ascii="Times New Roman" w:hAnsi="Times New Roman" w:cs="Times New Roman"/>
      </w:rPr>
    </w:lvl>
  </w:abstractNum>
  <w:abstractNum w:abstractNumId="20">
    <w:nsid w:val="25D922CC"/>
    <w:multiLevelType w:val="hybridMultilevel"/>
    <w:tmpl w:val="29E0F628"/>
    <w:lvl w:ilvl="0" w:tplc="33327DC4">
      <w:start w:val="1"/>
      <w:numFmt w:val="upperRoman"/>
      <w:lvlText w:val="%1."/>
      <w:lvlJc w:val="left"/>
      <w:pPr>
        <w:ind w:left="2160" w:hanging="720"/>
      </w:pPr>
      <w:rPr>
        <w:rFonts w:ascii="Times New Roman" w:hAnsi="Times New Roman" w:cs="Times New Roman" w:hint="default"/>
      </w:rPr>
    </w:lvl>
    <w:lvl w:ilvl="1" w:tplc="10090019">
      <w:start w:val="1"/>
      <w:numFmt w:val="lowerLetter"/>
      <w:lvlText w:val="%2."/>
      <w:lvlJc w:val="left"/>
      <w:pPr>
        <w:ind w:left="2520" w:hanging="360"/>
      </w:pPr>
      <w:rPr>
        <w:rFonts w:ascii="Times New Roman" w:hAnsi="Times New Roman" w:cs="Times New Roman"/>
      </w:rPr>
    </w:lvl>
    <w:lvl w:ilvl="2" w:tplc="1009001B">
      <w:start w:val="1"/>
      <w:numFmt w:val="lowerRoman"/>
      <w:lvlText w:val="%3."/>
      <w:lvlJc w:val="right"/>
      <w:pPr>
        <w:ind w:left="3240" w:hanging="180"/>
      </w:pPr>
      <w:rPr>
        <w:rFonts w:ascii="Times New Roman" w:hAnsi="Times New Roman" w:cs="Times New Roman"/>
      </w:rPr>
    </w:lvl>
    <w:lvl w:ilvl="3" w:tplc="1009000F">
      <w:start w:val="1"/>
      <w:numFmt w:val="decimal"/>
      <w:lvlText w:val="%4."/>
      <w:lvlJc w:val="left"/>
      <w:pPr>
        <w:ind w:left="3960" w:hanging="360"/>
      </w:pPr>
      <w:rPr>
        <w:rFonts w:ascii="Times New Roman" w:hAnsi="Times New Roman" w:cs="Times New Roman"/>
      </w:rPr>
    </w:lvl>
    <w:lvl w:ilvl="4" w:tplc="10090019">
      <w:start w:val="1"/>
      <w:numFmt w:val="lowerLetter"/>
      <w:lvlText w:val="%5."/>
      <w:lvlJc w:val="left"/>
      <w:pPr>
        <w:ind w:left="4680" w:hanging="360"/>
      </w:pPr>
      <w:rPr>
        <w:rFonts w:ascii="Times New Roman" w:hAnsi="Times New Roman" w:cs="Times New Roman"/>
      </w:rPr>
    </w:lvl>
    <w:lvl w:ilvl="5" w:tplc="1009001B">
      <w:start w:val="1"/>
      <w:numFmt w:val="lowerRoman"/>
      <w:lvlText w:val="%6."/>
      <w:lvlJc w:val="right"/>
      <w:pPr>
        <w:ind w:left="5400" w:hanging="180"/>
      </w:pPr>
      <w:rPr>
        <w:rFonts w:ascii="Times New Roman" w:hAnsi="Times New Roman" w:cs="Times New Roman"/>
      </w:rPr>
    </w:lvl>
    <w:lvl w:ilvl="6" w:tplc="1009000F">
      <w:start w:val="1"/>
      <w:numFmt w:val="decimal"/>
      <w:lvlText w:val="%7."/>
      <w:lvlJc w:val="left"/>
      <w:pPr>
        <w:ind w:left="6120" w:hanging="360"/>
      </w:pPr>
      <w:rPr>
        <w:rFonts w:ascii="Times New Roman" w:hAnsi="Times New Roman" w:cs="Times New Roman"/>
      </w:rPr>
    </w:lvl>
    <w:lvl w:ilvl="7" w:tplc="10090019">
      <w:start w:val="1"/>
      <w:numFmt w:val="lowerLetter"/>
      <w:lvlText w:val="%8."/>
      <w:lvlJc w:val="left"/>
      <w:pPr>
        <w:ind w:left="6840" w:hanging="360"/>
      </w:pPr>
      <w:rPr>
        <w:rFonts w:ascii="Times New Roman" w:hAnsi="Times New Roman" w:cs="Times New Roman"/>
      </w:rPr>
    </w:lvl>
    <w:lvl w:ilvl="8" w:tplc="1009001B">
      <w:start w:val="1"/>
      <w:numFmt w:val="lowerRoman"/>
      <w:lvlText w:val="%9."/>
      <w:lvlJc w:val="right"/>
      <w:pPr>
        <w:ind w:left="7560" w:hanging="180"/>
      </w:pPr>
      <w:rPr>
        <w:rFonts w:ascii="Times New Roman" w:hAnsi="Times New Roman" w:cs="Times New Roman"/>
      </w:rPr>
    </w:lvl>
  </w:abstractNum>
  <w:abstractNum w:abstractNumId="21">
    <w:nsid w:val="25FC67F0"/>
    <w:multiLevelType w:val="hybridMultilevel"/>
    <w:tmpl w:val="496AC934"/>
    <w:lvl w:ilvl="0" w:tplc="68A861F0">
      <w:start w:val="1"/>
      <w:numFmt w:val="decimal"/>
      <w:lvlText w:val="%1."/>
      <w:lvlJc w:val="left"/>
      <w:pPr>
        <w:ind w:left="630" w:hanging="360"/>
      </w:pPr>
      <w:rPr>
        <w:rFonts w:ascii="Times New Roman" w:hAnsi="Times New Roman" w:cs="Times New Roman" w:hint="default"/>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28822C5B"/>
    <w:multiLevelType w:val="hybridMultilevel"/>
    <w:tmpl w:val="9CD63DA4"/>
    <w:lvl w:ilvl="0" w:tplc="04090001">
      <w:start w:val="1"/>
      <w:numFmt w:val="bullet"/>
      <w:lvlText w:val=""/>
      <w:lvlJc w:val="left"/>
      <w:pPr>
        <w:ind w:left="775" w:hanging="360"/>
      </w:pPr>
      <w:rPr>
        <w:rFonts w:ascii="Symbol" w:hAnsi="Symbol" w:cs="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cs="Wingdings" w:hint="default"/>
      </w:rPr>
    </w:lvl>
    <w:lvl w:ilvl="3" w:tplc="04090001">
      <w:start w:val="1"/>
      <w:numFmt w:val="bullet"/>
      <w:lvlText w:val=""/>
      <w:lvlJc w:val="left"/>
      <w:pPr>
        <w:ind w:left="2935" w:hanging="360"/>
      </w:pPr>
      <w:rPr>
        <w:rFonts w:ascii="Symbol" w:hAnsi="Symbol" w:cs="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cs="Wingdings" w:hint="default"/>
      </w:rPr>
    </w:lvl>
    <w:lvl w:ilvl="6" w:tplc="04090001">
      <w:start w:val="1"/>
      <w:numFmt w:val="bullet"/>
      <w:lvlText w:val=""/>
      <w:lvlJc w:val="left"/>
      <w:pPr>
        <w:ind w:left="5095" w:hanging="360"/>
      </w:pPr>
      <w:rPr>
        <w:rFonts w:ascii="Symbol" w:hAnsi="Symbol" w:cs="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cs="Wingdings" w:hint="default"/>
      </w:rPr>
    </w:lvl>
  </w:abstractNum>
  <w:abstractNum w:abstractNumId="23">
    <w:nsid w:val="29585FB2"/>
    <w:multiLevelType w:val="hybridMultilevel"/>
    <w:tmpl w:val="496AC934"/>
    <w:lvl w:ilvl="0" w:tplc="68A861F0">
      <w:start w:val="1"/>
      <w:numFmt w:val="decimal"/>
      <w:lvlText w:val="%1."/>
      <w:lvlJc w:val="left"/>
      <w:pPr>
        <w:ind w:left="900" w:hanging="360"/>
      </w:pPr>
      <w:rPr>
        <w:rFonts w:ascii="Times New Roman" w:hAnsi="Times New Roman" w:cs="Times New Roman" w:hint="default"/>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2BFE5AAB"/>
    <w:multiLevelType w:val="hybridMultilevel"/>
    <w:tmpl w:val="35C88BDE"/>
    <w:lvl w:ilvl="0" w:tplc="0409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5">
    <w:nsid w:val="2DA12AEC"/>
    <w:multiLevelType w:val="hybridMultilevel"/>
    <w:tmpl w:val="6D920198"/>
    <w:lvl w:ilvl="0" w:tplc="354AC9BA">
      <w:start w:val="1"/>
      <w:numFmt w:val="decimal"/>
      <w:lvlText w:val="%1."/>
      <w:lvlJc w:val="left"/>
      <w:pPr>
        <w:ind w:left="720" w:hanging="360"/>
      </w:pPr>
      <w:rPr>
        <w:rFonts w:ascii="Times New Roman" w:eastAsia="Times New Roman" w:hAnsi="Times New Roman" w:hint="default"/>
        <w:b/>
        <w:bCs/>
        <w:color w:val="000000"/>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6">
    <w:nsid w:val="2EE96366"/>
    <w:multiLevelType w:val="hybridMultilevel"/>
    <w:tmpl w:val="F9C48342"/>
    <w:lvl w:ilvl="0" w:tplc="1009000F">
      <w:start w:val="1"/>
      <w:numFmt w:val="decimal"/>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7">
    <w:nsid w:val="2F0336B8"/>
    <w:multiLevelType w:val="multilevel"/>
    <w:tmpl w:val="99BA12E0"/>
    <w:lvl w:ilvl="0">
      <w:start w:val="1"/>
      <w:numFmt w:val="upperRoman"/>
      <w:lvlText w:val="%1."/>
      <w:lvlJc w:val="left"/>
      <w:pPr>
        <w:tabs>
          <w:tab w:val="num" w:pos="720"/>
        </w:tabs>
      </w:pPr>
      <w:rPr>
        <w:rFonts w:ascii="Times New Roman" w:hAnsi="Times New Roman" w:cs="Times New Roman" w:hint="default"/>
      </w:rPr>
    </w:lvl>
    <w:lvl w:ilvl="1">
      <w:start w:val="1"/>
      <w:numFmt w:val="upperLetter"/>
      <w:lvlText w:val="%2."/>
      <w:lvlJc w:val="left"/>
      <w:pPr>
        <w:tabs>
          <w:tab w:val="num" w:pos="360"/>
        </w:tabs>
      </w:pPr>
      <w:rPr>
        <w:rFonts w:ascii="Times New Roman" w:hAnsi="Times New Roman" w:cs="Times New Roman" w:hint="default"/>
      </w:rPr>
    </w:lvl>
    <w:lvl w:ilvl="2">
      <w:start w:val="1"/>
      <w:numFmt w:val="decimal"/>
      <w:lvlText w:val="%3."/>
      <w:lvlJc w:val="left"/>
      <w:pPr>
        <w:tabs>
          <w:tab w:val="num" w:pos="360"/>
        </w:tabs>
      </w:pPr>
      <w:rPr>
        <w:rFonts w:ascii="Times New Roman" w:hAnsi="Times New Roman" w:cs="Times New Roman" w:hint="default"/>
      </w:rPr>
    </w:lvl>
    <w:lvl w:ilvl="3">
      <w:start w:val="1"/>
      <w:numFmt w:val="decimal"/>
      <w:lvlText w:val="1.%4"/>
      <w:lvlJc w:val="left"/>
      <w:pPr>
        <w:tabs>
          <w:tab w:val="num" w:pos="360"/>
        </w:tabs>
      </w:pPr>
      <w:rPr>
        <w:rFonts w:ascii="Times New Roman" w:hAnsi="Times New Roman" w:cs="Times New Roman" w:hint="default"/>
      </w:rPr>
    </w:lvl>
    <w:lvl w:ilvl="4">
      <w:start w:val="1"/>
      <w:numFmt w:val="lowerRoman"/>
      <w:pStyle w:val="Heading5"/>
      <w:lvlText w:val="(%5)"/>
      <w:lvlJc w:val="left"/>
      <w:pPr>
        <w:tabs>
          <w:tab w:val="num" w:pos="720"/>
        </w:tabs>
      </w:pPr>
      <w:rPr>
        <w:rFonts w:ascii="Times New Roman" w:hAnsi="Times New Roman" w:cs="Times New Roman" w:hint="default"/>
      </w:rPr>
    </w:lvl>
    <w:lvl w:ilvl="5">
      <w:start w:val="1"/>
      <w:numFmt w:val="lowerLetter"/>
      <w:lvlText w:val="(%6)"/>
      <w:lvlJc w:val="left"/>
      <w:pPr>
        <w:tabs>
          <w:tab w:val="num" w:pos="1080"/>
        </w:tabs>
        <w:ind w:left="72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360"/>
        </w:tabs>
        <w:ind w:left="-72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28">
    <w:nsid w:val="31D46006"/>
    <w:multiLevelType w:val="hybridMultilevel"/>
    <w:tmpl w:val="3D5E9AC4"/>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9">
    <w:nsid w:val="35204183"/>
    <w:multiLevelType w:val="hybridMultilevel"/>
    <w:tmpl w:val="2670E2FA"/>
    <w:lvl w:ilvl="0" w:tplc="B824B77A">
      <w:start w:val="3"/>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0">
    <w:nsid w:val="361042E5"/>
    <w:multiLevelType w:val="hybridMultilevel"/>
    <w:tmpl w:val="6AB8811E"/>
    <w:lvl w:ilvl="0" w:tplc="BAA856B0">
      <w:start w:val="1"/>
      <w:numFmt w:val="decimal"/>
      <w:lvlText w:val="%1."/>
      <w:lvlJc w:val="left"/>
      <w:pPr>
        <w:ind w:left="720" w:hanging="360"/>
      </w:pPr>
      <w:rPr>
        <w:rFonts w:ascii="Times New Roman" w:hAnsi="Times New Roman" w:cs="Times New Roman" w:hint="default"/>
        <w:i w:val="0"/>
        <w:iCs w:val="0"/>
        <w:color w:val="auto"/>
        <w:sz w:val="18"/>
        <w:szCs w:val="18"/>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nsid w:val="3625726B"/>
    <w:multiLevelType w:val="hybridMultilevel"/>
    <w:tmpl w:val="2A72AC56"/>
    <w:lvl w:ilvl="0" w:tplc="1009000F">
      <w:start w:val="12"/>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32">
    <w:nsid w:val="36673AF2"/>
    <w:multiLevelType w:val="multilevel"/>
    <w:tmpl w:val="4A54D94E"/>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33">
    <w:nsid w:val="396814BD"/>
    <w:multiLevelType w:val="hybridMultilevel"/>
    <w:tmpl w:val="0E067840"/>
    <w:lvl w:ilvl="0" w:tplc="F89AE9DE">
      <w:start w:val="1"/>
      <w:numFmt w:val="lowerLetter"/>
      <w:lvlText w:val="(%1)"/>
      <w:lvlJc w:val="left"/>
      <w:pPr>
        <w:ind w:left="1440" w:hanging="360"/>
      </w:pPr>
      <w:rPr>
        <w:rFonts w:ascii="Times New Roman" w:hAnsi="Times New Roman" w:cs="Times New Roman" w:hint="default"/>
        <w:b w:val="0"/>
        <w:bCs w:val="0"/>
        <w:i w:val="0"/>
        <w:iCs w:val="0"/>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4">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5">
    <w:nsid w:val="3CA410CD"/>
    <w:multiLevelType w:val="hybridMultilevel"/>
    <w:tmpl w:val="FA427772"/>
    <w:lvl w:ilvl="0" w:tplc="6E482212">
      <w:start w:val="1"/>
      <w:numFmt w:val="decimal"/>
      <w:pStyle w:val="CBD-Para"/>
      <w:lvlText w:val="%1."/>
      <w:lvlJc w:val="left"/>
      <w:pPr>
        <w:tabs>
          <w:tab w:val="num" w:pos="720"/>
        </w:tabs>
      </w:pPr>
      <w:rPr>
        <w:rFonts w:ascii="Times New Roman" w:hAnsi="Times New Roman" w:cs="Times New Roman"/>
        <w:b w:val="0"/>
        <w:bCs w:val="0"/>
      </w:rPr>
    </w:lvl>
    <w:lvl w:ilvl="1" w:tplc="DF42636C">
      <w:start w:val="1"/>
      <w:numFmt w:val="lowerLetter"/>
      <w:lvlText w:val="(%2)"/>
      <w:lvlJc w:val="left"/>
      <w:pPr>
        <w:ind w:left="1080" w:hanging="360"/>
      </w:pPr>
      <w:rPr>
        <w:rFonts w:ascii="Times New Roman" w:hAnsi="Times New Roman" w:cs="Times New Roman"/>
      </w:rPr>
    </w:lvl>
    <w:lvl w:ilvl="2" w:tplc="07B06256">
      <w:start w:val="1"/>
      <w:numFmt w:val="lowerLetter"/>
      <w:lvlText w:val="(%3)"/>
      <w:lvlJc w:val="left"/>
      <w:pPr>
        <w:tabs>
          <w:tab w:val="num" w:pos="1980"/>
        </w:tabs>
        <w:ind w:left="1980" w:hanging="36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6">
    <w:nsid w:val="3E4D45D6"/>
    <w:multiLevelType w:val="hybridMultilevel"/>
    <w:tmpl w:val="D1FC6818"/>
    <w:lvl w:ilvl="0" w:tplc="E3E464E0">
      <w:start w:val="1"/>
      <w:numFmt w:val="lowerLetter"/>
      <w:lvlText w:val="(%1)"/>
      <w:lvlJc w:val="left"/>
      <w:pPr>
        <w:ind w:left="1080" w:hanging="360"/>
      </w:pPr>
      <w:rPr>
        <w:rFonts w:ascii="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37">
    <w:nsid w:val="44CC7FBB"/>
    <w:multiLevelType w:val="hybridMultilevel"/>
    <w:tmpl w:val="45E4BE68"/>
    <w:lvl w:ilvl="0" w:tplc="F89AE9DE">
      <w:start w:val="1"/>
      <w:numFmt w:val="lowerLetter"/>
      <w:lvlText w:val="(%1)"/>
      <w:lvlJc w:val="left"/>
      <w:pPr>
        <w:tabs>
          <w:tab w:val="num" w:pos="1080"/>
        </w:tabs>
        <w:ind w:left="108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38">
    <w:nsid w:val="48B162D1"/>
    <w:multiLevelType w:val="hybridMultilevel"/>
    <w:tmpl w:val="82B4B748"/>
    <w:lvl w:ilvl="0" w:tplc="68A861F0">
      <w:start w:val="1"/>
      <w:numFmt w:val="decimal"/>
      <w:lvlText w:val="%1."/>
      <w:lvlJc w:val="left"/>
      <w:pPr>
        <w:ind w:left="630" w:hanging="360"/>
      </w:pPr>
      <w:rPr>
        <w:rFonts w:ascii="Times New Roman" w:hAnsi="Times New Roman" w:cs="Times New Roman" w:hint="default"/>
        <w:color w:val="auto"/>
      </w:rPr>
    </w:lvl>
    <w:lvl w:ilvl="1" w:tplc="45C2876C">
      <w:start w:val="1"/>
      <w:numFmt w:val="lowerLetter"/>
      <w:lvlText w:val="%2)"/>
      <w:lvlJc w:val="left"/>
      <w:pPr>
        <w:ind w:left="1440" w:hanging="360"/>
      </w:pPr>
      <w:rPr>
        <w:rFonts w:ascii="Times New Roman" w:hAnsi="Times New Roman" w:cs="Times New Roman" w:hint="default"/>
        <w:b w:val="0"/>
        <w:bCs w:val="0"/>
        <w:color w:val="auto"/>
        <w:sz w:val="22"/>
        <w:szCs w:val="22"/>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nsid w:val="48E4287B"/>
    <w:multiLevelType w:val="multilevel"/>
    <w:tmpl w:val="2E6A1D38"/>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1440"/>
        </w:tabs>
        <w:ind w:firstLine="720"/>
      </w:pPr>
      <w:rPr>
        <w:rFonts w:ascii="Times New Roman" w:hAnsi="Times New Roman" w:cs="Times New Roman"/>
      </w:rPr>
    </w:lvl>
    <w:lvl w:ilvl="2">
      <w:start w:val="1"/>
      <w:numFmt w:val="lowerRoman"/>
      <w:lvlText w:val="(%3)"/>
      <w:lvlJc w:val="right"/>
      <w:pPr>
        <w:tabs>
          <w:tab w:val="num" w:pos="1440"/>
        </w:tabs>
        <w:ind w:left="1440" w:hanging="360"/>
      </w:pPr>
      <w:rPr>
        <w:rFonts w:ascii="Times New Roman" w:hAnsi="Times New Roman" w:cs="Times New Roman"/>
      </w:r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nsid w:val="506B6D1B"/>
    <w:multiLevelType w:val="hybridMultilevel"/>
    <w:tmpl w:val="496AC934"/>
    <w:lvl w:ilvl="0" w:tplc="68A861F0">
      <w:start w:val="1"/>
      <w:numFmt w:val="decimal"/>
      <w:lvlText w:val="%1."/>
      <w:lvlJc w:val="left"/>
      <w:pPr>
        <w:ind w:left="630" w:hanging="360"/>
      </w:pPr>
      <w:rPr>
        <w:rFonts w:ascii="Times New Roman" w:hAnsi="Times New Roman" w:cs="Times New Roman" w:hint="default"/>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2">
    <w:nsid w:val="526D5637"/>
    <w:multiLevelType w:val="hybridMultilevel"/>
    <w:tmpl w:val="0E067840"/>
    <w:lvl w:ilvl="0" w:tplc="F89AE9DE">
      <w:start w:val="1"/>
      <w:numFmt w:val="lowerLetter"/>
      <w:lvlText w:val="(%1)"/>
      <w:lvlJc w:val="left"/>
      <w:pPr>
        <w:ind w:left="1440" w:hanging="360"/>
      </w:pPr>
      <w:rPr>
        <w:rFonts w:ascii="Times New Roman" w:hAnsi="Times New Roman" w:cs="Times New Roman" w:hint="default"/>
        <w:b w:val="0"/>
        <w:bCs w:val="0"/>
        <w:i w:val="0"/>
        <w:iCs w:val="0"/>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3">
    <w:nsid w:val="540A3D30"/>
    <w:multiLevelType w:val="hybridMultilevel"/>
    <w:tmpl w:val="980EF43E"/>
    <w:lvl w:ilvl="0" w:tplc="3716CFE2">
      <w:start w:val="1"/>
      <w:numFmt w:val="decimal"/>
      <w:lvlText w:val="%1."/>
      <w:lvlJc w:val="left"/>
      <w:pPr>
        <w:ind w:left="644" w:hanging="360"/>
      </w:pPr>
      <w:rPr>
        <w:rFonts w:ascii="Times New Roman" w:hAnsi="Times New Roman" w:cs="Times New Roman"/>
        <w:color w:val="auto"/>
      </w:rPr>
    </w:lvl>
    <w:lvl w:ilvl="1" w:tplc="0C070019">
      <w:start w:val="1"/>
      <w:numFmt w:val="lowerLetter"/>
      <w:lvlText w:val="%2."/>
      <w:lvlJc w:val="left"/>
      <w:pPr>
        <w:ind w:left="1364" w:hanging="360"/>
      </w:pPr>
      <w:rPr>
        <w:rFonts w:ascii="Times New Roman" w:hAnsi="Times New Roman" w:cs="Times New Roman"/>
      </w:rPr>
    </w:lvl>
    <w:lvl w:ilvl="2" w:tplc="0C07001B">
      <w:start w:val="1"/>
      <w:numFmt w:val="lowerRoman"/>
      <w:lvlText w:val="%3."/>
      <w:lvlJc w:val="right"/>
      <w:pPr>
        <w:ind w:left="2084" w:hanging="180"/>
      </w:pPr>
      <w:rPr>
        <w:rFonts w:ascii="Times New Roman" w:hAnsi="Times New Roman" w:cs="Times New Roman"/>
      </w:rPr>
    </w:lvl>
    <w:lvl w:ilvl="3" w:tplc="0C07000F">
      <w:start w:val="1"/>
      <w:numFmt w:val="decimal"/>
      <w:lvlText w:val="%4."/>
      <w:lvlJc w:val="left"/>
      <w:pPr>
        <w:ind w:left="2804" w:hanging="360"/>
      </w:pPr>
      <w:rPr>
        <w:rFonts w:ascii="Times New Roman" w:hAnsi="Times New Roman" w:cs="Times New Roman"/>
      </w:rPr>
    </w:lvl>
    <w:lvl w:ilvl="4" w:tplc="0C070019">
      <w:start w:val="1"/>
      <w:numFmt w:val="lowerLetter"/>
      <w:lvlText w:val="%5."/>
      <w:lvlJc w:val="left"/>
      <w:pPr>
        <w:ind w:left="3524" w:hanging="360"/>
      </w:pPr>
      <w:rPr>
        <w:rFonts w:ascii="Times New Roman" w:hAnsi="Times New Roman" w:cs="Times New Roman"/>
      </w:rPr>
    </w:lvl>
    <w:lvl w:ilvl="5" w:tplc="0C07001B">
      <w:start w:val="1"/>
      <w:numFmt w:val="lowerRoman"/>
      <w:lvlText w:val="%6."/>
      <w:lvlJc w:val="right"/>
      <w:pPr>
        <w:ind w:left="4244" w:hanging="180"/>
      </w:pPr>
      <w:rPr>
        <w:rFonts w:ascii="Times New Roman" w:hAnsi="Times New Roman" w:cs="Times New Roman"/>
      </w:rPr>
    </w:lvl>
    <w:lvl w:ilvl="6" w:tplc="0C07000F">
      <w:start w:val="1"/>
      <w:numFmt w:val="decimal"/>
      <w:lvlText w:val="%7."/>
      <w:lvlJc w:val="left"/>
      <w:pPr>
        <w:ind w:left="4964" w:hanging="360"/>
      </w:pPr>
      <w:rPr>
        <w:rFonts w:ascii="Times New Roman" w:hAnsi="Times New Roman" w:cs="Times New Roman"/>
      </w:rPr>
    </w:lvl>
    <w:lvl w:ilvl="7" w:tplc="0C070019">
      <w:start w:val="1"/>
      <w:numFmt w:val="lowerLetter"/>
      <w:lvlText w:val="%8."/>
      <w:lvlJc w:val="left"/>
      <w:pPr>
        <w:ind w:left="5684" w:hanging="360"/>
      </w:pPr>
      <w:rPr>
        <w:rFonts w:ascii="Times New Roman" w:hAnsi="Times New Roman" w:cs="Times New Roman"/>
      </w:rPr>
    </w:lvl>
    <w:lvl w:ilvl="8" w:tplc="0C07001B">
      <w:start w:val="1"/>
      <w:numFmt w:val="lowerRoman"/>
      <w:lvlText w:val="%9."/>
      <w:lvlJc w:val="right"/>
      <w:pPr>
        <w:ind w:left="6404" w:hanging="180"/>
      </w:pPr>
      <w:rPr>
        <w:rFonts w:ascii="Times New Roman" w:hAnsi="Times New Roman" w:cs="Times New Roman"/>
      </w:rPr>
    </w:lvl>
  </w:abstractNum>
  <w:abstractNum w:abstractNumId="44">
    <w:nsid w:val="550A17DD"/>
    <w:multiLevelType w:val="hybridMultilevel"/>
    <w:tmpl w:val="5DC26996"/>
    <w:lvl w:ilvl="0" w:tplc="F78EA30E">
      <w:start w:val="1"/>
      <w:numFmt w:val="upperRoman"/>
      <w:lvlText w:val="%1."/>
      <w:lvlJc w:val="left"/>
      <w:pPr>
        <w:ind w:left="1080" w:hanging="360"/>
      </w:pPr>
      <w:rPr>
        <w:rFonts w:ascii="Times New Roman" w:hAnsi="Times New Roman" w:cs="Times New Roman" w:hint="default"/>
        <w:b/>
        <w:bCs/>
        <w:sz w:val="22"/>
        <w:szCs w:val="22"/>
      </w:rPr>
    </w:lvl>
    <w:lvl w:ilvl="1" w:tplc="040C0019">
      <w:start w:val="1"/>
      <w:numFmt w:val="lowerLetter"/>
      <w:lvlText w:val="%2."/>
      <w:lvlJc w:val="left"/>
      <w:pPr>
        <w:ind w:left="1800" w:hanging="360"/>
      </w:pPr>
      <w:rPr>
        <w:rFonts w:ascii="Times New Roman" w:hAnsi="Times New Roman" w:cs="Times New Roman"/>
      </w:rPr>
    </w:lvl>
    <w:lvl w:ilvl="2" w:tplc="040C001B">
      <w:start w:val="1"/>
      <w:numFmt w:val="lowerRoman"/>
      <w:lvlText w:val="%3."/>
      <w:lvlJc w:val="right"/>
      <w:pPr>
        <w:ind w:left="2520" w:hanging="180"/>
      </w:pPr>
      <w:rPr>
        <w:rFonts w:ascii="Times New Roman" w:hAnsi="Times New Roman" w:cs="Times New Roman"/>
      </w:rPr>
    </w:lvl>
    <w:lvl w:ilvl="3" w:tplc="040C000F">
      <w:start w:val="1"/>
      <w:numFmt w:val="decimal"/>
      <w:lvlText w:val="%4."/>
      <w:lvlJc w:val="left"/>
      <w:pPr>
        <w:ind w:left="3240" w:hanging="360"/>
      </w:pPr>
      <w:rPr>
        <w:rFonts w:ascii="Times New Roman" w:hAnsi="Times New Roman" w:cs="Times New Roman"/>
      </w:rPr>
    </w:lvl>
    <w:lvl w:ilvl="4" w:tplc="040C0019">
      <w:start w:val="1"/>
      <w:numFmt w:val="lowerLetter"/>
      <w:lvlText w:val="%5."/>
      <w:lvlJc w:val="left"/>
      <w:pPr>
        <w:ind w:left="3960" w:hanging="360"/>
      </w:pPr>
      <w:rPr>
        <w:rFonts w:ascii="Times New Roman" w:hAnsi="Times New Roman" w:cs="Times New Roman"/>
      </w:rPr>
    </w:lvl>
    <w:lvl w:ilvl="5" w:tplc="040C001B">
      <w:start w:val="1"/>
      <w:numFmt w:val="lowerRoman"/>
      <w:lvlText w:val="%6."/>
      <w:lvlJc w:val="right"/>
      <w:pPr>
        <w:ind w:left="4680" w:hanging="180"/>
      </w:pPr>
      <w:rPr>
        <w:rFonts w:ascii="Times New Roman" w:hAnsi="Times New Roman" w:cs="Times New Roman"/>
      </w:rPr>
    </w:lvl>
    <w:lvl w:ilvl="6" w:tplc="040C000F">
      <w:start w:val="1"/>
      <w:numFmt w:val="decimal"/>
      <w:lvlText w:val="%7."/>
      <w:lvlJc w:val="left"/>
      <w:pPr>
        <w:ind w:left="5400" w:hanging="360"/>
      </w:pPr>
      <w:rPr>
        <w:rFonts w:ascii="Times New Roman" w:hAnsi="Times New Roman" w:cs="Times New Roman"/>
      </w:rPr>
    </w:lvl>
    <w:lvl w:ilvl="7" w:tplc="040C0019">
      <w:start w:val="1"/>
      <w:numFmt w:val="lowerLetter"/>
      <w:lvlText w:val="%8."/>
      <w:lvlJc w:val="left"/>
      <w:pPr>
        <w:ind w:left="6120" w:hanging="360"/>
      </w:pPr>
      <w:rPr>
        <w:rFonts w:ascii="Times New Roman" w:hAnsi="Times New Roman" w:cs="Times New Roman"/>
      </w:rPr>
    </w:lvl>
    <w:lvl w:ilvl="8" w:tplc="040C001B">
      <w:start w:val="1"/>
      <w:numFmt w:val="lowerRoman"/>
      <w:lvlText w:val="%9."/>
      <w:lvlJc w:val="right"/>
      <w:pPr>
        <w:ind w:left="6840" w:hanging="180"/>
      </w:pPr>
      <w:rPr>
        <w:rFonts w:ascii="Times New Roman" w:hAnsi="Times New Roman" w:cs="Times New Roman"/>
      </w:rPr>
    </w:lvl>
  </w:abstractNum>
  <w:abstractNum w:abstractNumId="45">
    <w:nsid w:val="58840619"/>
    <w:multiLevelType w:val="hybridMultilevel"/>
    <w:tmpl w:val="5CF6DC1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6">
    <w:nsid w:val="5D9D1198"/>
    <w:multiLevelType w:val="hybridMultilevel"/>
    <w:tmpl w:val="73564768"/>
    <w:lvl w:ilvl="0" w:tplc="04090013">
      <w:start w:val="1"/>
      <w:numFmt w:val="upperRoman"/>
      <w:lvlText w:val="%1."/>
      <w:lvlJc w:val="righ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7">
    <w:nsid w:val="620D6AEB"/>
    <w:multiLevelType w:val="multilevel"/>
    <w:tmpl w:val="8902B9FE"/>
    <w:lvl w:ilvl="0">
      <w:start w:val="1"/>
      <w:numFmt w:val="decimal"/>
      <w:lvlText w:val="%1."/>
      <w:lvlJc w:val="left"/>
      <w:pPr>
        <w:tabs>
          <w:tab w:val="num" w:pos="450"/>
        </w:tabs>
        <w:ind w:left="90"/>
      </w:pPr>
      <w:rPr>
        <w:rFonts w:ascii="Times New Roman" w:hAnsi="Times New Roman" w:cs="Times New Roman" w:hint="default"/>
        <w:b w:val="0"/>
        <w:bCs w:val="0"/>
        <w:i w:val="0"/>
        <w:iCs w:val="0"/>
        <w:color w:val="auto"/>
        <w:sz w:val="22"/>
        <w:szCs w:val="22"/>
      </w:rPr>
    </w:lvl>
    <w:lvl w:ilvl="1">
      <w:start w:val="1"/>
      <w:numFmt w:val="lowerLetter"/>
      <w:lvlText w:val="(%2)"/>
      <w:lvlJc w:val="left"/>
      <w:pPr>
        <w:tabs>
          <w:tab w:val="num" w:pos="1571"/>
        </w:tabs>
        <w:ind w:left="131"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8">
    <w:nsid w:val="64EE46A3"/>
    <w:multiLevelType w:val="hybridMultilevel"/>
    <w:tmpl w:val="5BB24326"/>
    <w:lvl w:ilvl="0" w:tplc="5652EF34">
      <w:start w:val="1"/>
      <w:numFmt w:val="decimal"/>
      <w:lvlText w:val="%1."/>
      <w:lvlJc w:val="left"/>
      <w:pPr>
        <w:ind w:left="1260" w:hanging="360"/>
      </w:pPr>
      <w:rPr>
        <w:rFonts w:ascii="Times New Roman" w:hAnsi="Times New Roman" w:cs="Times New Roman"/>
        <w:b w:val="0"/>
        <w:bCs w:val="0"/>
        <w:i w:val="0"/>
        <w:iCs w:val="0"/>
        <w:sz w:val="22"/>
        <w:szCs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9">
    <w:nsid w:val="66191540"/>
    <w:multiLevelType w:val="hybridMultilevel"/>
    <w:tmpl w:val="C3841510"/>
    <w:lvl w:ilvl="0" w:tplc="821006C2">
      <w:start w:val="1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0">
    <w:nsid w:val="673809CC"/>
    <w:multiLevelType w:val="hybridMultilevel"/>
    <w:tmpl w:val="496AC934"/>
    <w:lvl w:ilvl="0" w:tplc="68A861F0">
      <w:start w:val="1"/>
      <w:numFmt w:val="decimal"/>
      <w:lvlText w:val="%1."/>
      <w:lvlJc w:val="left"/>
      <w:pPr>
        <w:ind w:left="6456" w:hanging="360"/>
      </w:pPr>
      <w:rPr>
        <w:rFonts w:ascii="Times New Roman" w:hAnsi="Times New Roman" w:cs="Times New Roman" w:hint="default"/>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1">
    <w:nsid w:val="68380B85"/>
    <w:multiLevelType w:val="hybridMultilevel"/>
    <w:tmpl w:val="496AC934"/>
    <w:lvl w:ilvl="0" w:tplc="68A861F0">
      <w:start w:val="1"/>
      <w:numFmt w:val="decimal"/>
      <w:lvlText w:val="%1."/>
      <w:lvlJc w:val="left"/>
      <w:pPr>
        <w:ind w:left="900" w:hanging="360"/>
      </w:pPr>
      <w:rPr>
        <w:rFonts w:ascii="Times New Roman" w:hAnsi="Times New Roman" w:cs="Times New Roman" w:hint="default"/>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2">
    <w:nsid w:val="697C072D"/>
    <w:multiLevelType w:val="hybridMultilevel"/>
    <w:tmpl w:val="D7BE13A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3">
    <w:nsid w:val="6D6A4606"/>
    <w:multiLevelType w:val="hybridMultilevel"/>
    <w:tmpl w:val="7DACC6E0"/>
    <w:lvl w:ilvl="0" w:tplc="4D342D4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5">
    <w:nsid w:val="6FB66C87"/>
    <w:multiLevelType w:val="hybridMultilevel"/>
    <w:tmpl w:val="1E144B60"/>
    <w:lvl w:ilvl="0" w:tplc="040C000F">
      <w:start w:val="1"/>
      <w:numFmt w:val="decimal"/>
      <w:lvlText w:val="%1."/>
      <w:lvlJc w:val="left"/>
      <w:pPr>
        <w:ind w:left="1080" w:hanging="72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56">
    <w:nsid w:val="74442F6A"/>
    <w:multiLevelType w:val="hybridMultilevel"/>
    <w:tmpl w:val="8E783C22"/>
    <w:lvl w:ilvl="0" w:tplc="51C8E928">
      <w:start w:val="1"/>
      <w:numFmt w:val="decimal"/>
      <w:lvlText w:val="%1."/>
      <w:lvlJc w:val="left"/>
      <w:pPr>
        <w:ind w:left="1080" w:hanging="360"/>
      </w:pPr>
      <w:rPr>
        <w:rFonts w:ascii="Times New Roman" w:hAnsi="Times New Roman" w:cs="Times New Roman"/>
        <w:b w:val="0"/>
        <w:bCs w:val="0"/>
      </w:rPr>
    </w:lvl>
    <w:lvl w:ilvl="1" w:tplc="0409000F">
      <w:start w:val="1"/>
      <w:numFmt w:val="decimal"/>
      <w:lvlText w:val="%2."/>
      <w:lvlJc w:val="left"/>
      <w:pPr>
        <w:ind w:left="1800" w:hanging="360"/>
      </w:pPr>
      <w:rPr>
        <w:rFonts w:ascii="Times New Roman" w:hAnsi="Times New Roman" w:cs="Times New Roman"/>
        <w:b w:val="0"/>
        <w:bCs w:val="0"/>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57">
    <w:nsid w:val="776664A0"/>
    <w:multiLevelType w:val="hybridMultilevel"/>
    <w:tmpl w:val="51E2D41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8">
    <w:nsid w:val="784D753F"/>
    <w:multiLevelType w:val="hybridMultilevel"/>
    <w:tmpl w:val="C65C342E"/>
    <w:lvl w:ilvl="0" w:tplc="307C724A">
      <w:start w:val="1"/>
      <w:numFmt w:val="upperLetter"/>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9">
    <w:nsid w:val="79423494"/>
    <w:multiLevelType w:val="hybridMultilevel"/>
    <w:tmpl w:val="76225832"/>
    <w:lvl w:ilvl="0" w:tplc="040C0001">
      <w:start w:val="1"/>
      <w:numFmt w:val="bullet"/>
      <w:lvlText w:val=""/>
      <w:lvlJc w:val="left"/>
      <w:pPr>
        <w:ind w:left="1080" w:hanging="360"/>
      </w:pPr>
      <w:rPr>
        <w:rFonts w:ascii="Symbol" w:hAnsi="Symbol" w:cs="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60">
    <w:nsid w:val="7C2B59DC"/>
    <w:multiLevelType w:val="multilevel"/>
    <w:tmpl w:val="8902B9FE"/>
    <w:lvl w:ilvl="0">
      <w:start w:val="1"/>
      <w:numFmt w:val="decimal"/>
      <w:lvlText w:val="%1."/>
      <w:lvlJc w:val="left"/>
      <w:pPr>
        <w:tabs>
          <w:tab w:val="num" w:pos="450"/>
        </w:tabs>
        <w:ind w:left="90"/>
      </w:pPr>
      <w:rPr>
        <w:rFonts w:ascii="Times New Roman" w:hAnsi="Times New Roman" w:cs="Times New Roman" w:hint="default"/>
        <w:b w:val="0"/>
        <w:bCs w:val="0"/>
        <w:i w:val="0"/>
        <w:iCs w:val="0"/>
        <w:color w:val="auto"/>
        <w:sz w:val="22"/>
        <w:szCs w:val="22"/>
      </w:rPr>
    </w:lvl>
    <w:lvl w:ilvl="1">
      <w:start w:val="1"/>
      <w:numFmt w:val="lowerLetter"/>
      <w:lvlText w:val="(%2)"/>
      <w:lvlJc w:val="left"/>
      <w:pPr>
        <w:tabs>
          <w:tab w:val="num" w:pos="1571"/>
        </w:tabs>
        <w:ind w:left="131"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27"/>
  </w:num>
  <w:num w:numId="2">
    <w:abstractNumId w:val="40"/>
  </w:num>
  <w:num w:numId="3">
    <w:abstractNumId w:val="37"/>
  </w:num>
  <w:num w:numId="4">
    <w:abstractNumId w:val="40"/>
  </w:num>
  <w:num w:numId="5">
    <w:abstractNumId w:val="39"/>
  </w:num>
  <w:num w:numId="6">
    <w:abstractNumId w:val="5"/>
  </w:num>
  <w:num w:numId="7">
    <w:abstractNumId w:val="10"/>
  </w:num>
  <w:num w:numId="8">
    <w:abstractNumId w:val="37"/>
    <w:lvlOverride w:ilvl="0">
      <w:startOverride w:val="1"/>
    </w:lvlOverride>
  </w:num>
  <w:num w:numId="9">
    <w:abstractNumId w:val="54"/>
  </w:num>
  <w:num w:numId="10">
    <w:abstractNumId w:val="37"/>
    <w:lvlOverride w:ilvl="0">
      <w:startOverride w:val="1"/>
    </w:lvlOverride>
  </w:num>
  <w:num w:numId="11">
    <w:abstractNumId w:val="37"/>
    <w:lvlOverride w:ilvl="0">
      <w:startOverride w:val="1"/>
    </w:lvlOverride>
  </w:num>
  <w:num w:numId="12">
    <w:abstractNumId w:val="37"/>
    <w:lvlOverride w:ilvl="0">
      <w:startOverride w:val="1"/>
    </w:lvlOverride>
  </w:num>
  <w:num w:numId="13">
    <w:abstractNumId w:val="37"/>
    <w:lvlOverride w:ilvl="0">
      <w:startOverride w:val="1"/>
    </w:lvlOverride>
  </w:num>
  <w:num w:numId="14">
    <w:abstractNumId w:val="14"/>
  </w:num>
  <w:num w:numId="15">
    <w:abstractNumId w:val="31"/>
  </w:num>
  <w:num w:numId="16">
    <w:abstractNumId w:val="15"/>
  </w:num>
  <w:num w:numId="17">
    <w:abstractNumId w:val="6"/>
  </w:num>
  <w:num w:numId="18">
    <w:abstractNumId w:val="47"/>
  </w:num>
  <w:num w:numId="19">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8"/>
  </w:num>
  <w:num w:numId="22">
    <w:abstractNumId w:val="19"/>
  </w:num>
  <w:num w:numId="23">
    <w:abstractNumId w:val="40"/>
  </w:num>
  <w:num w:numId="24">
    <w:abstractNumId w:val="13"/>
  </w:num>
  <w:num w:numId="25">
    <w:abstractNumId w:val="53"/>
  </w:num>
  <w:num w:numId="26">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0"/>
  </w:num>
  <w:num w:numId="30">
    <w:abstractNumId w:val="40"/>
  </w:num>
  <w:num w:numId="31">
    <w:abstractNumId w:val="40"/>
  </w:num>
  <w:num w:numId="32">
    <w:abstractNumId w:val="40"/>
  </w:num>
  <w:num w:numId="33">
    <w:abstractNumId w:val="40"/>
  </w:num>
  <w:num w:numId="34">
    <w:abstractNumId w:val="40"/>
  </w:num>
  <w:num w:numId="35">
    <w:abstractNumId w:val="40"/>
  </w:num>
  <w:num w:numId="36">
    <w:abstractNumId w:val="57"/>
  </w:num>
  <w:num w:numId="37">
    <w:abstractNumId w:val="40"/>
  </w:num>
  <w:num w:numId="38">
    <w:abstractNumId w:val="40"/>
  </w:num>
  <w:num w:numId="39">
    <w:abstractNumId w:val="40"/>
  </w:num>
  <w:num w:numId="40">
    <w:abstractNumId w:val="40"/>
  </w:num>
  <w:num w:numId="41">
    <w:abstractNumId w:val="40"/>
  </w:num>
  <w:num w:numId="42">
    <w:abstractNumId w:val="40"/>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40"/>
  </w:num>
  <w:num w:numId="51">
    <w:abstractNumId w:val="40"/>
  </w:num>
  <w:num w:numId="52">
    <w:abstractNumId w:val="40"/>
  </w:num>
  <w:num w:numId="53">
    <w:abstractNumId w:val="60"/>
  </w:num>
  <w:num w:numId="54">
    <w:abstractNumId w:val="16"/>
  </w:num>
  <w:num w:numId="55">
    <w:abstractNumId w:val="26"/>
  </w:num>
  <w:num w:numId="56">
    <w:abstractNumId w:val="33"/>
  </w:num>
  <w:num w:numId="57">
    <w:abstractNumId w:val="17"/>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29"/>
  </w:num>
  <w:num w:numId="62">
    <w:abstractNumId w:val="32"/>
  </w:num>
  <w:num w:numId="63">
    <w:abstractNumId w:val="58"/>
  </w:num>
  <w:num w:numId="64">
    <w:abstractNumId w:val="2"/>
  </w:num>
  <w:num w:numId="65">
    <w:abstractNumId w:val="42"/>
  </w:num>
  <w:num w:numId="66">
    <w:abstractNumId w:val="3"/>
  </w:num>
  <w:num w:numId="67">
    <w:abstractNumId w:val="56"/>
  </w:num>
  <w:num w:numId="68">
    <w:abstractNumId w:val="50"/>
  </w:num>
  <w:num w:numId="69">
    <w:abstractNumId w:val="45"/>
  </w:num>
  <w:num w:numId="70">
    <w:abstractNumId w:val="59"/>
  </w:num>
  <w:num w:numId="71">
    <w:abstractNumId w:val="55"/>
  </w:num>
  <w:num w:numId="72">
    <w:abstractNumId w:val="25"/>
  </w:num>
  <w:num w:numId="73">
    <w:abstractNumId w:val="7"/>
  </w:num>
  <w:num w:numId="74">
    <w:abstractNumId w:val="44"/>
  </w:num>
  <w:num w:numId="75">
    <w:abstractNumId w:val="11"/>
  </w:num>
  <w:num w:numId="76">
    <w:abstractNumId w:val="12"/>
  </w:num>
  <w:num w:numId="77">
    <w:abstractNumId w:val="1"/>
  </w:num>
  <w:num w:numId="78">
    <w:abstractNumId w:val="9"/>
  </w:num>
  <w:num w:numId="79">
    <w:abstractNumId w:val="46"/>
  </w:num>
  <w:num w:numId="80">
    <w:abstractNumId w:val="7"/>
    <w:lvlOverride w:ilvl="0">
      <w:startOverride w:val="17"/>
    </w:lvlOverride>
  </w:num>
  <w:num w:numId="81">
    <w:abstractNumId w:val="4"/>
  </w:num>
  <w:num w:numId="82">
    <w:abstractNumId w:val="24"/>
  </w:num>
  <w:num w:numId="83">
    <w:abstractNumId w:val="34"/>
  </w:num>
  <w:num w:numId="84">
    <w:abstractNumId w:val="28"/>
  </w:num>
  <w:num w:numId="85">
    <w:abstractNumId w:val="21"/>
  </w:num>
  <w:num w:numId="86">
    <w:abstractNumId w:val="41"/>
  </w:num>
  <w:num w:numId="87">
    <w:abstractNumId w:val="23"/>
  </w:num>
  <w:num w:numId="88">
    <w:abstractNumId w:val="51"/>
  </w:num>
  <w:num w:numId="89">
    <w:abstractNumId w:val="38"/>
  </w:num>
  <w:num w:numId="90">
    <w:abstractNumId w:val="35"/>
  </w:num>
  <w:num w:numId="91">
    <w:abstractNumId w:val="36"/>
  </w:num>
  <w:num w:numId="92">
    <w:abstractNumId w:val="30"/>
  </w:num>
  <w:num w:numId="93">
    <w:abstractNumId w:val="49"/>
  </w:num>
  <w:num w:numId="94">
    <w:abstractNumId w:val="0"/>
  </w:num>
  <w:num w:numId="95">
    <w:abstractNumId w:val="20"/>
  </w:num>
  <w:num w:numId="9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hyphenationZone w:val="425"/>
  <w:doNotHyphenateCaps/>
  <w:evenAndOddHeaders/>
  <w:characterSpacingControl w:val="doNotCompress"/>
  <w:doNotValidateAgainstSchema/>
  <w:doNotDemarcateInvalidXml/>
  <w:footnotePr>
    <w:footnote w:id="0"/>
    <w:footnote w:id="1"/>
    <w:footnote w:id="2"/>
  </w:footnotePr>
  <w:endnotePr>
    <w:endnote w:id="0"/>
    <w:endnote w:id="1"/>
    <w:endnote w:id="2"/>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F84"/>
    <w:rsid w:val="006E4F8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lang w:eastAsia="en-CA"/>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bCs/>
      <w:caps/>
      <w:sz w:val="22"/>
      <w:szCs w:val="22"/>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pPr>
      <w:keepNext/>
      <w:tabs>
        <w:tab w:val="left" w:pos="567"/>
      </w:tabs>
      <w:spacing w:before="120" w:after="120"/>
      <w:jc w:val="center"/>
      <w:outlineLvl w:val="2"/>
    </w:pPr>
    <w:rPr>
      <w:i/>
      <w:iCs/>
    </w:rPr>
  </w:style>
  <w:style w:type="paragraph" w:styleId="Heading4">
    <w:name w:val="heading 4"/>
    <w:basedOn w:val="Normal"/>
    <w:link w:val="Heading4Char"/>
    <w:uiPriority w:val="99"/>
    <w:qFormat/>
    <w:pPr>
      <w:keepNext/>
      <w:spacing w:before="120" w:after="120"/>
      <w:outlineLvl w:val="3"/>
    </w:pPr>
    <w:rPr>
      <w:rFonts w:ascii="Times New Roman Bold" w:eastAsia="Times New Roman" w:hAnsi="Times New Roman Bold" w:cs="Times New Roman Bold"/>
      <w:b/>
      <w:bCs/>
      <w:i/>
      <w:iCs/>
    </w:rPr>
  </w:style>
  <w:style w:type="paragraph" w:styleId="Heading5">
    <w:name w:val="heading 5"/>
    <w:basedOn w:val="Normal"/>
    <w:next w:val="Normal"/>
    <w:link w:val="Heading5Char"/>
    <w:uiPriority w:val="99"/>
    <w:qFormat/>
    <w:pPr>
      <w:keepNext/>
      <w:numPr>
        <w:ilvl w:val="4"/>
        <w:numId w:val="1"/>
      </w:numPr>
      <w:spacing w:before="120" w:after="120"/>
      <w:outlineLvl w:val="4"/>
    </w:pPr>
    <w:rPr>
      <w:i/>
      <w:iCs/>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cs="Univers"/>
      <w:b/>
      <w:bCs/>
      <w:sz w:val="28"/>
      <w:szCs w:val="28"/>
    </w:rPr>
  </w:style>
  <w:style w:type="paragraph" w:styleId="Heading8">
    <w:name w:val="heading 8"/>
    <w:basedOn w:val="Normal"/>
    <w:next w:val="Normal"/>
    <w:link w:val="Heading8Char"/>
    <w:uiPriority w:val="99"/>
    <w:qFormat/>
    <w:pPr>
      <w:keepNext/>
      <w:jc w:val="right"/>
      <w:outlineLvl w:val="7"/>
    </w:pPr>
    <w:rPr>
      <w:rFonts w:ascii="Univers" w:hAnsi="Univers" w:cs="Univers"/>
      <w:b/>
      <w:bCs/>
      <w:sz w:val="32"/>
      <w:szCs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caps/>
      <w:sz w:val="22"/>
      <w:szCs w:val="22"/>
      <w:lang w:val="es-ES" w:eastAsia="en-CA"/>
    </w:rPr>
  </w:style>
  <w:style w:type="character" w:customStyle="1" w:styleId="Heading2Char">
    <w:name w:val="Heading 2 Char"/>
    <w:basedOn w:val="DefaultParagraphFont"/>
    <w:link w:val="Heading2"/>
    <w:uiPriority w:val="99"/>
    <w:rPr>
      <w:rFonts w:ascii="Times New Roman" w:hAnsi="Times New Roman" w:cs="Times New Roman"/>
      <w:b/>
      <w:bCs/>
      <w:i/>
      <w:iCs/>
      <w:sz w:val="22"/>
      <w:szCs w:val="22"/>
      <w:lang w:val="es-ES"/>
    </w:rPr>
  </w:style>
  <w:style w:type="character" w:customStyle="1" w:styleId="Heading3Char">
    <w:name w:val="Heading 3 Char"/>
    <w:basedOn w:val="DefaultParagraphFont"/>
    <w:link w:val="Heading3"/>
    <w:uiPriority w:val="99"/>
    <w:rPr>
      <w:rFonts w:ascii="Times New Roman" w:hAnsi="Times New Roman" w:cs="Times New Roman"/>
      <w:i/>
      <w:iCs/>
      <w:sz w:val="22"/>
      <w:szCs w:val="22"/>
      <w:lang w:val="es-ES"/>
    </w:rPr>
  </w:style>
  <w:style w:type="character" w:customStyle="1" w:styleId="Heading4Char">
    <w:name w:val="Heading 4 Char"/>
    <w:basedOn w:val="DefaultParagraphFont"/>
    <w:link w:val="Heading4"/>
    <w:uiPriority w:val="99"/>
    <w:rPr>
      <w:rFonts w:ascii="Times New Roman Bold" w:eastAsia="Times New Roman" w:hAnsi="Times New Roman Bold" w:cs="Times New Roman Bold"/>
      <w:b/>
      <w:bCs/>
      <w:i/>
      <w:iCs/>
      <w:sz w:val="22"/>
      <w:szCs w:val="22"/>
      <w:lang w:val="es-ES"/>
    </w:rPr>
  </w:style>
  <w:style w:type="character" w:customStyle="1" w:styleId="Heading5Char">
    <w:name w:val="Heading 5 Char"/>
    <w:basedOn w:val="DefaultParagraphFont"/>
    <w:link w:val="Heading5"/>
    <w:uiPriority w:val="99"/>
    <w:rPr>
      <w:rFonts w:ascii="Times New Roman" w:hAnsi="Times New Roman" w:cs="Times New Roman"/>
      <w:i/>
      <w:iCs/>
      <w:sz w:val="26"/>
      <w:szCs w:val="26"/>
      <w:lang w:val="es-ES"/>
    </w:rPr>
  </w:style>
  <w:style w:type="character" w:customStyle="1" w:styleId="Heading6Char">
    <w:name w:val="Heading 6 Char"/>
    <w:basedOn w:val="DefaultParagraphFont"/>
    <w:link w:val="Heading6"/>
    <w:uiPriority w:val="99"/>
    <w:rPr>
      <w:rFonts w:ascii="Times New Roman" w:hAnsi="Times New Roman" w:cs="Times New Roman"/>
      <w:sz w:val="22"/>
      <w:szCs w:val="22"/>
      <w:u w:val="single"/>
      <w:lang w:val="es-ES"/>
    </w:rPr>
  </w:style>
  <w:style w:type="character" w:customStyle="1" w:styleId="Heading7Char">
    <w:name w:val="Heading 7 Char"/>
    <w:basedOn w:val="DefaultParagraphFont"/>
    <w:link w:val="Heading7"/>
    <w:uiPriority w:val="99"/>
    <w:rPr>
      <w:rFonts w:ascii="Univers" w:hAnsi="Univers" w:cs="Univers"/>
      <w:b/>
      <w:bCs/>
      <w:sz w:val="28"/>
      <w:szCs w:val="28"/>
      <w:lang w:val="es-ES"/>
    </w:rPr>
  </w:style>
  <w:style w:type="character" w:customStyle="1" w:styleId="Heading8Char">
    <w:name w:val="Heading 8 Char"/>
    <w:basedOn w:val="DefaultParagraphFont"/>
    <w:link w:val="Heading8"/>
    <w:uiPriority w:val="99"/>
    <w:rPr>
      <w:rFonts w:ascii="Univers" w:hAnsi="Univers" w:cs="Univers"/>
      <w:b/>
      <w:bCs/>
      <w:sz w:val="32"/>
      <w:szCs w:val="32"/>
      <w:lang w:val="es-ES"/>
    </w:rPr>
  </w:style>
  <w:style w:type="character" w:customStyle="1" w:styleId="Heading9Char">
    <w:name w:val="Heading 9 Char"/>
    <w:basedOn w:val="DefaultParagraphFont"/>
    <w:link w:val="Heading9"/>
    <w:uiPriority w:val="99"/>
    <w:rPr>
      <w:rFonts w:ascii="Times New Roman" w:hAnsi="Times New Roman" w:cs="Times New Roman"/>
      <w:i/>
      <w:iCs/>
      <w:sz w:val="22"/>
      <w:szCs w:val="22"/>
      <w:lang w:val="es-E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lang w:val="es-ES"/>
    </w:rPr>
  </w:style>
  <w:style w:type="character" w:styleId="PlaceholderText">
    <w:name w:val="Placeholder Text"/>
    <w:basedOn w:val="DefaultParagraphFont"/>
    <w:uiPriority w:val="99"/>
    <w:rPr>
      <w:rFonts w:ascii="Times New Roman" w:hAnsi="Times New Roman" w:cs="Times New Roman"/>
      <w:color w:val="808080"/>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2"/>
      <w:szCs w:val="22"/>
      <w:lang w:val="es-ES"/>
    </w:rPr>
  </w:style>
  <w:style w:type="paragraph" w:styleId="Footer">
    <w:name w:val="footer"/>
    <w:basedOn w:val="Normal"/>
    <w:link w:val="FooterChar"/>
    <w:uiPriority w:val="99"/>
    <w:pPr>
      <w:tabs>
        <w:tab w:val="center" w:pos="4320"/>
        <w:tab w:val="right" w:pos="8640"/>
      </w:tabs>
      <w:ind w:firstLine="720"/>
      <w:jc w:val="righ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2"/>
      <w:szCs w:val="22"/>
      <w:lang w:val="es-ES"/>
    </w:rPr>
  </w:style>
  <w:style w:type="paragraph" w:customStyle="1" w:styleId="meetingname">
    <w:name w:val="meeting name"/>
    <w:basedOn w:val="Normal"/>
    <w:uiPriority w:val="99"/>
    <w:pPr>
      <w:ind w:left="142" w:right="4218" w:hanging="142"/>
    </w:pPr>
    <w:rPr>
      <w:rFonts w:cs="Times New Roman"/>
      <w:caps/>
    </w:rPr>
  </w:style>
  <w:style w:type="paragraph" w:styleId="Title">
    <w:name w:val="Title"/>
    <w:basedOn w:val="Normal"/>
    <w:next w:val="Normal"/>
    <w:link w:val="TitleChar"/>
    <w:uiPriority w:val="99"/>
    <w:qFormat/>
    <w:pPr>
      <w:pBdr>
        <w:bottom w:val="single" w:sz="8" w:space="4" w:color="auto"/>
      </w:pBdr>
      <w:spacing w:after="300"/>
    </w:pPr>
    <w:rPr>
      <w:rFonts w:ascii="Calibri" w:eastAsia="SimSun" w:hAnsi="Calibri" w:cs="Calibri"/>
      <w:spacing w:val="5"/>
      <w:kern w:val="28"/>
      <w:sz w:val="52"/>
      <w:szCs w:val="52"/>
    </w:rPr>
  </w:style>
  <w:style w:type="character" w:customStyle="1" w:styleId="TitleChar">
    <w:name w:val="Title Char"/>
    <w:basedOn w:val="DefaultParagraphFont"/>
    <w:link w:val="Title"/>
    <w:uiPriority w:val="99"/>
    <w:rPr>
      <w:rFonts w:ascii="Calibri" w:eastAsia="SimSun" w:hAnsi="Calibri" w:cs="Calibri"/>
      <w:color w:val="auto"/>
      <w:spacing w:val="5"/>
      <w:kern w:val="28"/>
      <w:sz w:val="52"/>
      <w:szCs w:val="52"/>
      <w:lang w:val="es-ES"/>
    </w:rPr>
  </w:style>
  <w:style w:type="paragraph" w:styleId="Subtitle">
    <w:name w:val="Subtitle"/>
    <w:basedOn w:val="Normal"/>
    <w:next w:val="Normal"/>
    <w:link w:val="SubtitleChar"/>
    <w:uiPriority w:val="99"/>
    <w:qFormat/>
    <w:pPr>
      <w:numPr>
        <w:ilvl w:val="1"/>
      </w:numPr>
    </w:pPr>
    <w:rPr>
      <w:rFonts w:ascii="Calibri" w:eastAsia="SimSun" w:hAnsi="Calibri" w:cs="Calibri"/>
      <w:i/>
      <w:iCs/>
      <w:spacing w:val="15"/>
    </w:rPr>
  </w:style>
  <w:style w:type="character" w:customStyle="1" w:styleId="SubtitleChar">
    <w:name w:val="Subtitle Char"/>
    <w:basedOn w:val="DefaultParagraphFont"/>
    <w:link w:val="Subtitle"/>
    <w:uiPriority w:val="99"/>
    <w:rPr>
      <w:rFonts w:ascii="Calibri" w:eastAsia="SimSun" w:hAnsi="Calibri" w:cs="Calibri"/>
      <w:i/>
      <w:iCs/>
      <w:color w:val="auto"/>
      <w:spacing w:val="15"/>
      <w:lang w:val="es-ES"/>
    </w:rPr>
  </w:style>
  <w:style w:type="paragraph" w:styleId="BodyText">
    <w:name w:val="Body Text"/>
    <w:basedOn w:val="Normal"/>
    <w:link w:val="BodyTextChar"/>
    <w:uiPriority w:val="99"/>
    <w:pPr>
      <w:spacing w:before="120" w:after="120"/>
      <w:ind w:firstLine="720"/>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2"/>
      <w:szCs w:val="22"/>
      <w:lang w:val="es-ES"/>
    </w:rPr>
  </w:style>
  <w:style w:type="paragraph" w:styleId="BodyTextIndent">
    <w:name w:val="Body Text Indent"/>
    <w:basedOn w:val="Normal"/>
    <w:link w:val="BodyTextIndentChar"/>
    <w:uiPriority w:val="99"/>
    <w:pPr>
      <w:spacing w:before="120" w:after="120"/>
      <w:ind w:left="1440" w:hanging="720"/>
    </w:pPr>
    <w:rPr>
      <w:rFonts w:cs="Times New Roman"/>
    </w:rPr>
  </w:style>
  <w:style w:type="character" w:customStyle="1" w:styleId="BodyTextIndentChar">
    <w:name w:val="Body Text Indent Char"/>
    <w:basedOn w:val="DefaultParagraphFont"/>
    <w:link w:val="BodyTextIndent"/>
    <w:uiPriority w:val="99"/>
    <w:rPr>
      <w:rFonts w:ascii="Times New Roman" w:hAnsi="Times New Roman" w:cs="Times New Roman"/>
      <w:sz w:val="22"/>
      <w:szCs w:val="22"/>
      <w:lang w:val="es-E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120" w:line="240" w:lineRule="exact"/>
    </w:pPr>
    <w:rPr>
      <w:rFonts w:cs="Times New Roman"/>
    </w:rPr>
  </w:style>
  <w:style w:type="character" w:customStyle="1" w:styleId="CommentTextChar">
    <w:name w:val="Comment Text Char"/>
    <w:basedOn w:val="DefaultParagraphFont"/>
    <w:link w:val="CommentText"/>
    <w:uiPriority w:val="99"/>
    <w:rPr>
      <w:rFonts w:ascii="Times New Roman" w:hAnsi="Times New Roman" w:cs="Times New Roman"/>
      <w:sz w:val="22"/>
      <w:szCs w:val="22"/>
      <w:lang w:val="es-ES"/>
    </w:rPr>
  </w:style>
  <w:style w:type="paragraph" w:customStyle="1" w:styleId="Cornernotation">
    <w:name w:val="Corner notation"/>
    <w:basedOn w:val="Normal"/>
    <w:uiPriority w:val="99"/>
    <w:pPr>
      <w:ind w:left="170" w:right="3119" w:hanging="170"/>
    </w:pPr>
    <w:rPr>
      <w:rFonts w:cs="Times New Roman"/>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link w:val="EndnoteText"/>
    <w:uiPriority w:val="99"/>
    <w:rPr>
      <w:rFonts w:ascii="Courier New" w:hAnsi="Courier New" w:cs="Courier New"/>
      <w:sz w:val="22"/>
      <w:szCs w:val="22"/>
      <w:lang w:val="es-ES"/>
    </w:rPr>
  </w:style>
  <w:style w:type="character" w:styleId="FollowedHyperlink">
    <w:name w:val="FollowedHyperlink"/>
    <w:basedOn w:val="DefaultParagraphFont"/>
    <w:uiPriority w:val="99"/>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uiPriority w:val="99"/>
    <w:rPr>
      <w:sz w:val="22"/>
      <w:szCs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uiPriority w:val="99"/>
    <w:pPr>
      <w:keepLines/>
      <w:spacing w:after="60"/>
      <w:ind w:firstLine="720"/>
    </w:pPr>
    <w:rPr>
      <w:rFonts w:cs="Times New Roman"/>
      <w:sz w:val="18"/>
      <w:szCs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semiHidden/>
    <w:rsid w:val="006E4F84"/>
    <w:rPr>
      <w:rFonts w:ascii="Times New Roman" w:hAnsi="Times New Roman"/>
      <w:sz w:val="20"/>
      <w:szCs w:val="20"/>
      <w:lang w:eastAsia="en-CA"/>
    </w:rPr>
  </w:style>
  <w:style w:type="character" w:customStyle="1" w:styleId="FootnoteTextChar1">
    <w:name w:val="Footnote Text Char1"/>
    <w:aliases w:val="fn Char1,Geneva 9 Char1,Font: Geneva 9 Char1,Boston 10 Char1,f Char1,ft Char11,Fotnotstext Char Char1,ft Char Char1,single space Char1,footnote text Char,FOOTNOTES Char1,ADB Char1,single space1 Char1,footnote text1 Char1,fn1 Char1"/>
    <w:basedOn w:val="DefaultParagraphFont"/>
    <w:uiPriority w:val="99"/>
    <w:rPr>
      <w:rFonts w:ascii="Times New Roman" w:hAnsi="Times New Roman" w:cs="Times New Roman"/>
      <w:sz w:val="18"/>
      <w:szCs w:val="18"/>
      <w:lang w:val="es-ES"/>
    </w:rPr>
  </w:style>
  <w:style w:type="paragraph" w:customStyle="1" w:styleId="HEADING">
    <w:name w:val="HEADING"/>
    <w:basedOn w:val="Normal"/>
    <w:uiPriority w:val="99"/>
    <w:pPr>
      <w:keepNext/>
      <w:spacing w:before="240" w:after="120"/>
      <w:jc w:val="center"/>
    </w:pPr>
    <w:rPr>
      <w:rFonts w:cs="Times New Roman"/>
      <w:b/>
      <w:bCs/>
      <w:caps/>
    </w:rPr>
  </w:style>
  <w:style w:type="paragraph" w:customStyle="1" w:styleId="HEADINGNOTFORTOC">
    <w:name w:val="HEADING (NOT FOR TOC)"/>
    <w:basedOn w:val="Heading1"/>
    <w:next w:val="Heading2"/>
    <w:uiPriority w:val="99"/>
    <w:rPr>
      <w:rFonts w:cs="Times New Roman"/>
    </w:rPr>
  </w:style>
  <w:style w:type="paragraph" w:customStyle="1" w:styleId="Heading1longmultiline">
    <w:name w:val="Heading 1 (long multiline)"/>
    <w:basedOn w:val="Heading1"/>
    <w:uiPriority w:val="99"/>
    <w:pPr>
      <w:ind w:left="1843" w:hanging="1134"/>
      <w:jc w:val="left"/>
    </w:pPr>
    <w:rPr>
      <w:rFonts w:cs="Times New Roman"/>
    </w:rPr>
  </w:style>
  <w:style w:type="paragraph" w:customStyle="1" w:styleId="Heading1multiline">
    <w:name w:val="Heading 1 (multiline)"/>
    <w:basedOn w:val="Heading1"/>
    <w:uiPriority w:val="99"/>
    <w:pPr>
      <w:ind w:left="1843" w:right="996" w:hanging="567"/>
      <w:jc w:val="left"/>
    </w:pPr>
    <w:rPr>
      <w:rFonts w:cs="Times New Roman"/>
    </w:rPr>
  </w:style>
  <w:style w:type="paragraph" w:customStyle="1" w:styleId="Heading2multiline">
    <w:name w:val="Heading 2 (multiline)"/>
    <w:basedOn w:val="Heading1"/>
    <w:next w:val="Normal"/>
    <w:uiPriority w:val="99"/>
    <w:pPr>
      <w:spacing w:before="120"/>
      <w:ind w:left="1843" w:right="998" w:hanging="567"/>
      <w:jc w:val="left"/>
    </w:pPr>
    <w:rPr>
      <w:rFonts w:cs="Times New Roman"/>
      <w:i/>
      <w:iCs/>
      <w:caps w:val="0"/>
    </w:rPr>
  </w:style>
  <w:style w:type="paragraph" w:customStyle="1" w:styleId="Heading2longmultiline">
    <w:name w:val="Heading 2 (long multiline)"/>
    <w:basedOn w:val="Heading2multiline"/>
    <w:uiPriority w:val="99"/>
    <w:pPr>
      <w:ind w:left="2127" w:hanging="1276"/>
    </w:pPr>
  </w:style>
  <w:style w:type="paragraph" w:customStyle="1" w:styleId="heading2notforTOC">
    <w:name w:val="heading 2 not for TOC"/>
    <w:basedOn w:val="Heading3"/>
    <w:uiPriority w:val="99"/>
    <w:rPr>
      <w:rFonts w:cs="Times New Roman"/>
    </w:rPr>
  </w:style>
  <w:style w:type="paragraph" w:customStyle="1" w:styleId="Heading3multiline">
    <w:name w:val="Heading 3 (multiline)"/>
    <w:basedOn w:val="Heading3"/>
    <w:next w:val="Normal"/>
    <w:uiPriority w:val="99"/>
    <w:pPr>
      <w:ind w:left="1418" w:hanging="425"/>
      <w:jc w:val="left"/>
    </w:pPr>
    <w:rPr>
      <w:rFonts w:cs="Times New Roman"/>
    </w:rPr>
  </w:style>
  <w:style w:type="paragraph" w:customStyle="1" w:styleId="Heading4indent">
    <w:name w:val="Heading 4 indent"/>
    <w:basedOn w:val="Heading4"/>
    <w:uiPriority w:val="99"/>
    <w:pPr>
      <w:ind w:left="720"/>
      <w:outlineLvl w:val="9"/>
    </w:pPr>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sz w:val="22"/>
      <w:szCs w:val="22"/>
    </w:rPr>
  </w:style>
  <w:style w:type="paragraph" w:customStyle="1" w:styleId="Para1">
    <w:name w:val="Para1"/>
    <w:basedOn w:val="Normal"/>
    <w:uiPriority w:val="99"/>
    <w:pPr>
      <w:numPr>
        <w:numId w:val="4"/>
      </w:numPr>
      <w:tabs>
        <w:tab w:val="clear" w:pos="360"/>
      </w:tabs>
      <w:spacing w:before="120" w:after="120"/>
    </w:pPr>
    <w:rPr>
      <w:rFonts w:cs="Times New Roman"/>
      <w:sz w:val="20"/>
      <w:szCs w:val="20"/>
    </w:rPr>
  </w:style>
  <w:style w:type="paragraph" w:customStyle="1" w:styleId="Para2">
    <w:name w:val="Para2"/>
    <w:basedOn w:val="Para1"/>
    <w:uiPriority w:val="99"/>
    <w:pPr>
      <w:numPr>
        <w:numId w:val="0"/>
      </w:numPr>
      <w:autoSpaceDE w:val="0"/>
      <w:autoSpaceDN w:val="0"/>
    </w:pPr>
  </w:style>
  <w:style w:type="paragraph" w:customStyle="1" w:styleId="Para3">
    <w:name w:val="Para3"/>
    <w:basedOn w:val="Normal"/>
    <w:uiPriority w:val="99"/>
    <w:pPr>
      <w:numPr>
        <w:ilvl w:val="3"/>
        <w:numId w:val="5"/>
      </w:numPr>
      <w:tabs>
        <w:tab w:val="left" w:pos="1980"/>
      </w:tabs>
      <w:spacing w:before="80" w:after="80"/>
    </w:pPr>
    <w:rPr>
      <w:rFonts w:cs="Times New Roman"/>
    </w:rPr>
  </w:style>
  <w:style w:type="paragraph" w:customStyle="1" w:styleId="para4">
    <w:name w:val="para4"/>
    <w:basedOn w:val="Normal"/>
    <w:uiPriority w:val="99"/>
    <w:pPr>
      <w:overflowPunct w:val="0"/>
      <w:autoSpaceDE w:val="0"/>
      <w:autoSpaceDN w:val="0"/>
      <w:adjustRightInd w:val="0"/>
      <w:spacing w:after="120" w:line="240" w:lineRule="atLeast"/>
      <w:textAlignment w:val="baseline"/>
    </w:pPr>
    <w:rPr>
      <w:rFonts w:ascii="Courier" w:hAnsi="Courier" w:cs="Courier"/>
      <w:color w:val="000000"/>
      <w:sz w:val="20"/>
      <w:szCs w:val="20"/>
    </w:rPr>
  </w:style>
  <w:style w:type="paragraph" w:customStyle="1" w:styleId="Para-decision">
    <w:name w:val="Para-decision"/>
    <w:basedOn w:val="Normal"/>
    <w:uiPriority w:val="99"/>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rFonts w:cs="Times New Roman"/>
      <w:color w:val="000000"/>
    </w:rPr>
  </w:style>
  <w:style w:type="paragraph" w:customStyle="1" w:styleId="Quotationtextindented">
    <w:name w:val="Quotation text (indented)"/>
    <w:basedOn w:val="Normal"/>
    <w:uiPriority w:val="99"/>
    <w:pPr>
      <w:spacing w:before="120" w:after="120"/>
      <w:ind w:left="720" w:right="720"/>
    </w:pPr>
    <w:rPr>
      <w:rFonts w:cs="Times New Roman"/>
    </w:rPr>
  </w:style>
  <w:style w:type="paragraph" w:customStyle="1" w:styleId="recommendationheader">
    <w:name w:val="recommendation header"/>
    <w:basedOn w:val="Heading2"/>
    <w:uiPriority w:val="99"/>
    <w:rPr>
      <w:rFonts w:cs="Times New Roman"/>
    </w:rPr>
  </w:style>
  <w:style w:type="paragraph" w:customStyle="1" w:styleId="recommendationheaderlong">
    <w:name w:val="recommendation header long"/>
    <w:basedOn w:val="Heading2longmultiline"/>
    <w:uiPriority w:val="99"/>
  </w:style>
  <w:style w:type="paragraph" w:customStyle="1" w:styleId="reference">
    <w:name w:val="reference"/>
    <w:basedOn w:val="Heading9"/>
    <w:uiPriority w:val="99"/>
    <w:rPr>
      <w:rFonts w:cs="Times New Roman"/>
      <w:i w:val="0"/>
      <w:iCs w:val="0"/>
      <w:sz w:val="18"/>
      <w:szCs w:val="18"/>
    </w:rPr>
  </w:style>
  <w:style w:type="character" w:customStyle="1" w:styleId="StyleFootnoteReferenceNounderline">
    <w:name w:val="Style Footnote Reference + No underline"/>
    <w:uiPriority w:val="99"/>
    <w:rPr>
      <w:sz w:val="18"/>
      <w:szCs w:val="18"/>
      <w:u w:val="none"/>
      <w:vertAlign w:val="baseline"/>
    </w:rPr>
  </w:style>
  <w:style w:type="paragraph" w:customStyle="1" w:styleId="tabletitle">
    <w:name w:val="table title"/>
    <w:basedOn w:val="Heading2"/>
    <w:uiPriority w:val="99"/>
    <w:pPr>
      <w:jc w:val="left"/>
      <w:outlineLvl w:val="9"/>
    </w:pPr>
    <w:rPr>
      <w:rFonts w:cs="Times New Roman"/>
    </w:rPr>
  </w:style>
  <w:style w:type="paragraph" w:styleId="TOAHeading">
    <w:name w:val="toa heading"/>
    <w:basedOn w:val="Normal"/>
    <w:next w:val="Normal"/>
    <w:uiPriority w:val="99"/>
    <w:pPr>
      <w:spacing w:before="120"/>
    </w:pPr>
    <w:rPr>
      <w:rFonts w:ascii="Arial" w:hAnsi="Arial" w:cs="Arial"/>
      <w:b/>
      <w:bCs/>
    </w:rPr>
  </w:style>
  <w:style w:type="paragraph" w:styleId="TOC1">
    <w:name w:val="toc 1"/>
    <w:basedOn w:val="Normal"/>
    <w:next w:val="Normal"/>
    <w:autoRedefine/>
    <w:uiPriority w:val="99"/>
    <w:pPr>
      <w:suppressLineNumbers/>
      <w:tabs>
        <w:tab w:val="left" w:pos="851"/>
        <w:tab w:val="right" w:leader="dot" w:pos="9072"/>
      </w:tabs>
      <w:suppressAutoHyphens/>
      <w:kinsoku w:val="0"/>
      <w:overflowPunct w:val="0"/>
      <w:autoSpaceDE w:val="0"/>
      <w:autoSpaceDN w:val="0"/>
      <w:spacing w:before="120" w:after="120"/>
      <w:ind w:left="851" w:right="673" w:hanging="851"/>
    </w:pPr>
    <w:rPr>
      <w:rFonts w:cs="Times New Roman"/>
      <w:caps/>
    </w:rPr>
  </w:style>
  <w:style w:type="paragraph" w:styleId="TOC2">
    <w:name w:val="toc 2"/>
    <w:basedOn w:val="Normal"/>
    <w:next w:val="Normal"/>
    <w:autoRedefine/>
    <w:uiPriority w:val="99"/>
    <w:pPr>
      <w:tabs>
        <w:tab w:val="right" w:leader="dot" w:pos="9356"/>
      </w:tabs>
      <w:ind w:left="1440" w:hanging="720"/>
    </w:pPr>
    <w:rPr>
      <w:rFonts w:cs="Times New Roman"/>
      <w:noProof/>
    </w:rPr>
  </w:style>
  <w:style w:type="paragraph" w:styleId="TOC3">
    <w:name w:val="toc 3"/>
    <w:basedOn w:val="Normal"/>
    <w:next w:val="Normal"/>
    <w:autoRedefine/>
    <w:uiPriority w:val="99"/>
    <w:pPr>
      <w:ind w:left="2160" w:hanging="720"/>
    </w:pPr>
    <w:rPr>
      <w:rFonts w:cs="Times New Roman"/>
    </w:rPr>
  </w:style>
  <w:style w:type="paragraph" w:styleId="TOC4">
    <w:name w:val="toc 4"/>
    <w:basedOn w:val="Normal"/>
    <w:next w:val="Normal"/>
    <w:autoRedefine/>
    <w:uiPriority w:val="99"/>
    <w:pPr>
      <w:spacing w:before="120" w:after="120"/>
      <w:ind w:left="660"/>
    </w:pPr>
    <w:rPr>
      <w:rFonts w:cs="Times New Roman"/>
    </w:rPr>
  </w:style>
  <w:style w:type="paragraph" w:styleId="TOC5">
    <w:name w:val="toc 5"/>
    <w:basedOn w:val="Normal"/>
    <w:next w:val="Normal"/>
    <w:autoRedefine/>
    <w:uiPriority w:val="99"/>
    <w:pPr>
      <w:spacing w:before="120" w:after="120"/>
      <w:ind w:left="880"/>
    </w:pPr>
    <w:rPr>
      <w:rFonts w:cs="Times New Roman"/>
    </w:rPr>
  </w:style>
  <w:style w:type="paragraph" w:styleId="TOC6">
    <w:name w:val="toc 6"/>
    <w:basedOn w:val="Normal"/>
    <w:next w:val="Normal"/>
    <w:autoRedefine/>
    <w:uiPriority w:val="99"/>
    <w:pPr>
      <w:spacing w:before="120" w:after="120"/>
      <w:ind w:left="1100"/>
    </w:pPr>
    <w:rPr>
      <w:rFonts w:cs="Times New Roman"/>
    </w:rPr>
  </w:style>
  <w:style w:type="paragraph" w:styleId="TOC7">
    <w:name w:val="toc 7"/>
    <w:basedOn w:val="Normal"/>
    <w:next w:val="Normal"/>
    <w:autoRedefine/>
    <w:uiPriority w:val="99"/>
    <w:pPr>
      <w:spacing w:before="120" w:after="120"/>
      <w:ind w:left="1320"/>
    </w:pPr>
    <w:rPr>
      <w:rFonts w:cs="Times New Roman"/>
    </w:rPr>
  </w:style>
  <w:style w:type="paragraph" w:styleId="TOC8">
    <w:name w:val="toc 8"/>
    <w:basedOn w:val="Normal"/>
    <w:next w:val="Normal"/>
    <w:autoRedefine/>
    <w:uiPriority w:val="99"/>
    <w:pPr>
      <w:spacing w:before="120" w:after="120"/>
      <w:ind w:left="1540"/>
    </w:pPr>
    <w:rPr>
      <w:rFonts w:cs="Times New Roman"/>
    </w:rPr>
  </w:style>
  <w:style w:type="paragraph" w:styleId="TOC9">
    <w:name w:val="toc 9"/>
    <w:basedOn w:val="Normal"/>
    <w:next w:val="Normal"/>
    <w:autoRedefine/>
    <w:uiPriority w:val="99"/>
    <w:pPr>
      <w:spacing w:before="120" w:after="120"/>
      <w:ind w:left="1760"/>
    </w:pPr>
    <w:rPr>
      <w:rFonts w:cs="Times New Roman"/>
    </w:rPr>
  </w:style>
  <w:style w:type="character" w:styleId="Hyperlink">
    <w:name w:val="Hyperlink"/>
    <w:basedOn w:val="DefaultParagraphFont"/>
    <w:uiPriority w:val="99"/>
    <w:rPr>
      <w:color w:val="0000FF"/>
      <w:sz w:val="18"/>
      <w:szCs w:val="18"/>
      <w:u w:val="single"/>
    </w:rPr>
  </w:style>
  <w:style w:type="character" w:customStyle="1" w:styleId="Para1Char">
    <w:name w:val="Para1 Char"/>
    <w:uiPriority w:val="99"/>
    <w:rPr>
      <w:rFonts w:ascii="Times New Roman" w:hAnsi="Times New Roman" w:cs="Times New Roman"/>
      <w:snapToGrid w:val="0"/>
      <w:sz w:val="18"/>
      <w:szCs w:val="18"/>
      <w:lang w:val="es-ES" w:eastAsia="en-CA"/>
    </w:rPr>
  </w:style>
  <w:style w:type="paragraph" w:customStyle="1" w:styleId="CBD-Doc-Type">
    <w:name w:val="CBD-Doc-Type"/>
    <w:basedOn w:val="Normal"/>
    <w:uiPriority w:val="99"/>
    <w:pPr>
      <w:keepLines/>
      <w:spacing w:before="240" w:after="120"/>
    </w:pPr>
    <w:rPr>
      <w:rFonts w:ascii="Angsana New" w:hAnsi="Angsana New" w:cs="Angsana New"/>
      <w:b/>
      <w:bCs/>
      <w:i/>
      <w:iCs/>
    </w:rPr>
  </w:style>
  <w:style w:type="paragraph" w:customStyle="1" w:styleId="CBD-Doc">
    <w:name w:val="CBD-Doc"/>
    <w:basedOn w:val="Normal"/>
    <w:uiPriority w:val="99"/>
    <w:pPr>
      <w:keepLines/>
      <w:numPr>
        <w:numId w:val="9"/>
      </w:numPr>
      <w:spacing w:after="120"/>
    </w:pPr>
    <w:rPr>
      <w:rFonts w:ascii="Angsana New" w:hAnsi="Angsana New" w:cs="Angsana New"/>
    </w:rPr>
  </w:style>
  <w:style w:type="paragraph" w:customStyle="1" w:styleId="bodytextnoindent">
    <w:name w:val="body text (no indent)"/>
    <w:basedOn w:val="Normal"/>
    <w:uiPriority w:val="99"/>
    <w:pPr>
      <w:spacing w:before="140" w:after="140"/>
      <w:ind w:left="720" w:hanging="720"/>
    </w:pPr>
    <w:rPr>
      <w:rFonts w:cs="Times New Roman"/>
    </w:rPr>
  </w:style>
  <w:style w:type="paragraph" w:styleId="ListParagraph">
    <w:name w:val="List Paragraph"/>
    <w:basedOn w:val="Normal"/>
    <w:uiPriority w:val="99"/>
    <w:qFormat/>
    <w:pPr>
      <w:ind w:left="720"/>
    </w:pPr>
    <w:rPr>
      <w:rFonts w:cs="Times New Roman"/>
    </w:rPr>
  </w:style>
  <w:style w:type="paragraph" w:styleId="CommentSubject">
    <w:name w:val="annotation subject"/>
    <w:basedOn w:val="CommentText"/>
    <w:next w:val="CommentText"/>
    <w:link w:val="CommentSubjectChar"/>
    <w:uiPriority w:val="99"/>
    <w:pPr>
      <w:spacing w:after="0" w:line="240" w:lineRule="auto"/>
    </w:pPr>
    <w:rPr>
      <w:b/>
      <w:bCs/>
      <w:sz w:val="20"/>
      <w:szCs w:val="20"/>
    </w:rPr>
  </w:style>
  <w:style w:type="character" w:customStyle="1" w:styleId="CommentSubjectChar">
    <w:name w:val="Comment Subject Char"/>
    <w:basedOn w:val="CommentTextChar"/>
    <w:link w:val="CommentSubject"/>
    <w:uiPriority w:val="99"/>
    <w:rPr>
      <w:b/>
      <w:bCs/>
      <w:sz w:val="20"/>
      <w:szCs w:val="20"/>
      <w:lang w:eastAsia="en-CA"/>
    </w:rPr>
  </w:style>
  <w:style w:type="paragraph" w:styleId="Revision">
    <w:name w:val="Revision"/>
    <w:hidden/>
    <w:uiPriority w:val="99"/>
    <w:rPr>
      <w:rFonts w:ascii="Times New Roman" w:hAnsi="Times New Roman" w:cs="Times New Roman"/>
      <w:sz w:val="24"/>
      <w:szCs w:val="24"/>
      <w:lang w:eastAsia="en-CA"/>
    </w:rPr>
  </w:style>
  <w:style w:type="character" w:customStyle="1" w:styleId="UnresolvedMention1">
    <w:name w:val="Unresolved Mention1"/>
    <w:basedOn w:val="DefaultParagraphFont"/>
    <w:uiPriority w:val="99"/>
    <w:rPr>
      <w:rFonts w:ascii="Times New Roman" w:hAnsi="Times New Roman" w:cs="Times New Roman"/>
      <w:color w:val="808080"/>
      <w:shd w:val="clear" w:color="auto" w:fill="auto"/>
    </w:rPr>
  </w:style>
  <w:style w:type="paragraph" w:customStyle="1" w:styleId="Default">
    <w:name w:val="Default"/>
    <w:uiPriority w:val="99"/>
    <w:pPr>
      <w:autoSpaceDE w:val="0"/>
      <w:autoSpaceDN w:val="0"/>
      <w:adjustRightInd w:val="0"/>
    </w:pPr>
    <w:rPr>
      <w:rFonts w:ascii="Times New Roman" w:eastAsia="SimSun" w:hAnsi="Times New Roman" w:cs="Times New Roman"/>
      <w:color w:val="000000"/>
      <w:sz w:val="24"/>
      <w:szCs w:val="24"/>
      <w:lang w:eastAsia="en-US"/>
    </w:rPr>
  </w:style>
  <w:style w:type="character" w:customStyle="1" w:styleId="UnresolvedMention">
    <w:name w:val="Unresolved Mention"/>
    <w:basedOn w:val="DefaultParagraphFont"/>
    <w:uiPriority w:val="99"/>
    <w:rPr>
      <w:rFonts w:ascii="Times New Roman" w:hAnsi="Times New Roman" w:cs="Times New Roman"/>
      <w:color w:val="808080"/>
      <w:shd w:val="clear" w:color="auto" w:fill="auto"/>
    </w:rPr>
  </w:style>
  <w:style w:type="paragraph" w:customStyle="1" w:styleId="sub-item">
    <w:name w:val="sub-item"/>
    <w:basedOn w:val="Heading2"/>
    <w:uiPriority w:val="99"/>
    <w:pPr>
      <w:spacing w:before="240"/>
      <w:ind w:firstLine="709"/>
      <w:jc w:val="left"/>
      <w:outlineLvl w:val="0"/>
    </w:pPr>
    <w:rPr>
      <w:rFonts w:cs="Times New Roman"/>
      <w:i w:val="0"/>
      <w:iCs w:val="0"/>
      <w:sz w:val="22"/>
      <w:szCs w:val="22"/>
    </w:rPr>
  </w:style>
  <w:style w:type="paragraph" w:styleId="NormalWeb">
    <w:name w:val="Normal (Web)"/>
    <w:basedOn w:val="Normal"/>
    <w:uiPriority w:val="99"/>
    <w:pPr>
      <w:jc w:val="both"/>
    </w:pPr>
    <w:rPr>
      <w:rFonts w:cs="Times New Roman"/>
      <w:lang w:eastAsia="en-US"/>
    </w:rPr>
  </w:style>
  <w:style w:type="paragraph" w:customStyle="1" w:styleId="Item">
    <w:name w:val="Item"/>
    <w:basedOn w:val="Normal"/>
    <w:uiPriority w:val="99"/>
    <w:pPr>
      <w:keepNext/>
      <w:spacing w:before="240" w:after="120"/>
      <w:ind w:left="720" w:hanging="720"/>
      <w:jc w:val="center"/>
    </w:pPr>
    <w:rPr>
      <w:rFonts w:cs="Times New Roman"/>
      <w:b/>
      <w:bCs/>
      <w:kern w:val="22"/>
      <w:sz w:val="22"/>
      <w:szCs w:val="22"/>
      <w:lang w:eastAsia="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pPr>
      <w:spacing w:after="160" w:line="240" w:lineRule="exact"/>
    </w:pPr>
    <w:rPr>
      <w:rFonts w:ascii="Cambria" w:eastAsia="SimSun" w:hAnsi="Cambria" w:cs="Cambria"/>
      <w:sz w:val="22"/>
      <w:szCs w:val="22"/>
      <w:vertAlign w:val="superscript"/>
      <w:lang w:eastAsia="es-ES"/>
    </w:rPr>
  </w:style>
  <w:style w:type="paragraph" w:styleId="NoSpacing">
    <w:name w:val="No Spacing"/>
    <w:uiPriority w:val="99"/>
    <w:qFormat/>
    <w:rPr>
      <w:rFonts w:ascii="Calibri" w:hAnsi="Calibri" w:cs="Calibri"/>
      <w:lang w:eastAsia="en-US"/>
    </w:rPr>
  </w:style>
  <w:style w:type="character" w:customStyle="1" w:styleId="NoSpacingChar">
    <w:name w:val="No Spacing Char"/>
    <w:basedOn w:val="DefaultParagraphFont"/>
    <w:uiPriority w:val="99"/>
    <w:rPr>
      <w:rFonts w:ascii="Calibri" w:eastAsia="Times New Roman" w:hAnsi="Calibri" w:cs="Calibri"/>
      <w:sz w:val="22"/>
      <w:szCs w:val="22"/>
      <w:lang w:val="es-ES" w:eastAsia="en-US"/>
    </w:rPr>
  </w:style>
  <w:style w:type="paragraph" w:customStyle="1" w:styleId="decision">
    <w:name w:val="decision"/>
    <w:basedOn w:val="Normal"/>
    <w:uiPriority w:val="99"/>
    <w:pPr>
      <w:keepNext/>
      <w:jc w:val="center"/>
    </w:pPr>
    <w:rPr>
      <w:rFonts w:ascii="Times New Roman Bold" w:eastAsia="Malgun Gothic" w:hAnsi="Times New Roman Bold" w:cs="Times New Roman Bold"/>
      <w:b/>
      <w:bCs/>
      <w:sz w:val="22"/>
      <w:szCs w:val="22"/>
      <w:lang w:eastAsia="en-US"/>
    </w:rPr>
  </w:style>
  <w:style w:type="paragraph" w:customStyle="1" w:styleId="xl66">
    <w:name w:val="xl6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lang w:eastAsia="en-US"/>
    </w:rPr>
  </w:style>
  <w:style w:type="paragraph" w:customStyle="1" w:styleId="xl67">
    <w:name w:val="xl67"/>
    <w:basedOn w:val="Normal"/>
    <w:uiPriority w:val="99"/>
    <w:pPr>
      <w:spacing w:before="100" w:beforeAutospacing="1" w:after="100" w:afterAutospacing="1"/>
      <w:jc w:val="both"/>
      <w:textAlignment w:val="center"/>
    </w:pPr>
    <w:rPr>
      <w:rFonts w:cs="Times New Roman"/>
      <w:sz w:val="20"/>
      <w:szCs w:val="20"/>
      <w:lang w:eastAsia="en-US"/>
    </w:rPr>
  </w:style>
  <w:style w:type="paragraph" w:customStyle="1" w:styleId="xl68">
    <w:name w:val="xl68"/>
    <w:basedOn w:val="Normal"/>
    <w:uiPriority w:val="99"/>
    <w:pPr>
      <w:spacing w:before="100" w:beforeAutospacing="1" w:after="100" w:afterAutospacing="1"/>
      <w:jc w:val="center"/>
      <w:textAlignment w:val="center"/>
    </w:pPr>
    <w:rPr>
      <w:rFonts w:cs="Times New Roman"/>
      <w:b/>
      <w:bCs/>
      <w:sz w:val="20"/>
      <w:szCs w:val="20"/>
      <w:lang w:eastAsia="en-US"/>
    </w:rPr>
  </w:style>
  <w:style w:type="paragraph" w:customStyle="1" w:styleId="xl69">
    <w:name w:val="xl6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0"/>
      <w:szCs w:val="20"/>
      <w:lang w:eastAsia="en-US"/>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0"/>
      <w:szCs w:val="20"/>
      <w:lang w:eastAsia="en-US"/>
    </w:rPr>
  </w:style>
  <w:style w:type="paragraph" w:customStyle="1" w:styleId="xl71">
    <w:name w:val="xl7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bCs/>
      <w:sz w:val="20"/>
      <w:szCs w:val="20"/>
      <w:lang w:eastAsia="en-US"/>
    </w:rPr>
  </w:style>
  <w:style w:type="paragraph" w:customStyle="1" w:styleId="xl73">
    <w:name w:val="xl73"/>
    <w:basedOn w:val="Normal"/>
    <w:uiPriority w:val="99"/>
    <w:pPr>
      <w:pBdr>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5">
    <w:name w:val="xl7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7">
    <w:name w:val="xl7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bCs/>
      <w:sz w:val="20"/>
      <w:szCs w:val="20"/>
      <w:lang w:eastAsia="en-US"/>
    </w:rPr>
  </w:style>
  <w:style w:type="paragraph" w:customStyle="1" w:styleId="xl78">
    <w:name w:val="xl7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9">
    <w:name w:val="xl7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bCs/>
      <w:sz w:val="20"/>
      <w:szCs w:val="20"/>
      <w:lang w:eastAsia="en-US"/>
    </w:rPr>
  </w:style>
  <w:style w:type="paragraph" w:customStyle="1" w:styleId="xl80">
    <w:name w:val="xl80"/>
    <w:basedOn w:val="Normal"/>
    <w:uiPriority w:val="99"/>
    <w:pPr>
      <w:spacing w:before="100" w:beforeAutospacing="1" w:after="100" w:afterAutospacing="1"/>
      <w:jc w:val="both"/>
      <w:textAlignment w:val="center"/>
    </w:pPr>
    <w:rPr>
      <w:rFonts w:cs="Times New Roman"/>
      <w:b/>
      <w:bCs/>
      <w:sz w:val="22"/>
      <w:szCs w:val="22"/>
      <w:lang w:eastAsia="en-US"/>
    </w:rPr>
  </w:style>
  <w:style w:type="paragraph" w:customStyle="1" w:styleId="Style1">
    <w:name w:val="Style1"/>
    <w:basedOn w:val="Heading2"/>
    <w:uiPriority w:val="99"/>
    <w:rPr>
      <w:rFonts w:cs="Times New Roman"/>
      <w:sz w:val="22"/>
      <w:szCs w:val="22"/>
      <w:lang w:eastAsia="en-US"/>
    </w:rPr>
  </w:style>
  <w:style w:type="paragraph" w:styleId="PlainText">
    <w:name w:val="Plain Text"/>
    <w:basedOn w:val="Normal"/>
    <w:link w:val="PlainTextChar"/>
    <w:uiPriority w:val="99"/>
    <w:pPr>
      <w:jc w:val="both"/>
    </w:pPr>
    <w:rPr>
      <w:rFonts w:ascii="Calibri" w:hAnsi="Calibri" w:cs="Calibri"/>
      <w:sz w:val="22"/>
      <w:szCs w:val="22"/>
      <w:lang w:eastAsia="en-US"/>
    </w:rPr>
  </w:style>
  <w:style w:type="character" w:customStyle="1" w:styleId="PlainTextChar">
    <w:name w:val="Plain Text Char"/>
    <w:basedOn w:val="DefaultParagraphFont"/>
    <w:link w:val="PlainText"/>
    <w:uiPriority w:val="99"/>
    <w:rPr>
      <w:rFonts w:ascii="Calibri" w:eastAsia="Times New Roman" w:hAnsi="Calibri" w:cs="Calibri"/>
      <w:sz w:val="22"/>
      <w:szCs w:val="22"/>
      <w:lang w:val="es-ES"/>
    </w:rPr>
  </w:style>
  <w:style w:type="paragraph" w:styleId="Caption">
    <w:name w:val="caption"/>
    <w:basedOn w:val="Normal"/>
    <w:next w:val="Normal"/>
    <w:uiPriority w:val="99"/>
    <w:qFormat/>
    <w:pPr>
      <w:keepNext/>
      <w:keepLines/>
      <w:spacing w:after="200"/>
      <w:jc w:val="both"/>
    </w:pPr>
    <w:rPr>
      <w:rFonts w:cs="Times New Roman"/>
      <w:b/>
      <w:bCs/>
      <w:sz w:val="22"/>
      <w:szCs w:val="22"/>
      <w:lang w:eastAsia="en-US"/>
    </w:rPr>
  </w:style>
  <w:style w:type="paragraph" w:customStyle="1" w:styleId="CBD-Para">
    <w:name w:val="CBD-Para"/>
    <w:basedOn w:val="Normal"/>
    <w:uiPriority w:val="99"/>
    <w:pPr>
      <w:keepLines/>
      <w:numPr>
        <w:numId w:val="90"/>
      </w:numPr>
      <w:spacing w:before="120" w:after="120"/>
      <w:jc w:val="both"/>
    </w:pPr>
    <w:rPr>
      <w:rFonts w:cs="Times New Roman"/>
      <w:sz w:val="22"/>
      <w:szCs w:val="22"/>
      <w:lang w:eastAsia="es-ES"/>
    </w:rPr>
  </w:style>
  <w:style w:type="character" w:customStyle="1" w:styleId="CBD-ParaCharChar">
    <w:name w:val="CBD-Para Char Char"/>
    <w:uiPriority w:val="99"/>
    <w:rPr>
      <w:rFonts w:ascii="Times New Roman" w:hAnsi="Times New Roman" w:cs="Times New Roman"/>
      <w:sz w:val="22"/>
      <w:szCs w:val="22"/>
      <w:lang w:val="es-ES"/>
    </w:rPr>
  </w:style>
  <w:style w:type="character" w:customStyle="1" w:styleId="UnresolvedMention2">
    <w:name w:val="Unresolved Mention2"/>
    <w:basedOn w:val="DefaultParagraphFont"/>
    <w:uiPriority w:val="99"/>
    <w:rPr>
      <w:rFonts w:ascii="Times New Roman" w:hAnsi="Times New Roman" w:cs="Times New Roman"/>
      <w:color w:val="auto"/>
      <w:shd w:val="clear" w:color="auto" w:fill="auto"/>
    </w:rPr>
  </w:style>
  <w:style w:type="character" w:customStyle="1" w:styleId="UnresolvedMention3">
    <w:name w:val="Unresolved Mention3"/>
    <w:basedOn w:val="DefaultParagraphFont"/>
    <w:uiPriority w:val="99"/>
    <w:rPr>
      <w:rFonts w:ascii="Times New Roman" w:hAnsi="Times New Roman" w:cs="Times New Roman"/>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bd.int/doc/decisions/cop-14/cop-14-dec-37-es.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3085</Words>
  <Characters>17588</Characters>
  <Application>Microsoft Office Outlook</Application>
  <DocSecurity>0</DocSecurity>
  <Lines>0</Lines>
  <Paragraphs>0</Paragraphs>
  <ScaleCrop>false</ScaleCrop>
  <Company>SCBD</Company>
  <LinksUpToDate>false</LinksUpToDate>
  <CharactersWithSpaces>0</CharactersWithSpaces>
  <SharedDoc>false</SharedDoc>
  <HyperlinkBase>https://www.cbd.int/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CONFERENCIA DE LAS PARTES EN EL CONVENIO SOBRE LA DIVERSIDAD BIOLÓGICA EN SU SEGUNDA REUNIÓN EXTRAORDINARIA ACERCA DE SU SEGUNDA REUNIÓN EXTRAORDINARIA</dc:title>
  <dc:subject>CBD/ExCOP/2/3</dc:subject>
  <dc:creator>CBD/COP</dc:creator>
  <cp:keywords>Second extraordinary meeting of the Conference of the Parties to the Convention on Biological Diversity, 16-19 November 2020</cp:keywords>
  <dc:description/>
  <cp:lastModifiedBy>Carmen</cp:lastModifiedBy>
  <cp:revision>3</cp:revision>
  <cp:lastPrinted>2020-12-04T16:05:00Z</cp:lastPrinted>
  <dcterms:created xsi:type="dcterms:W3CDTF">2022-02-10T21:37:00Z</dcterms:created>
  <dcterms:modified xsi:type="dcterms:W3CDTF">2022-02-10T21:40:00Z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